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BB" w:rsidRDefault="007E78BB">
      <w:pPr>
        <w:widowControl/>
        <w:pBdr>
          <w:top w:val="nil"/>
          <w:left w:val="nil"/>
          <w:bottom w:val="nil"/>
          <w:right w:val="nil"/>
          <w:between w:val="nil"/>
        </w:pBdr>
        <w:spacing w:line="240" w:lineRule="auto"/>
        <w:ind w:left="0" w:hanging="2"/>
        <w:jc w:val="center"/>
        <w:rPr>
          <w:rFonts w:ascii="Arial" w:eastAsia="Arial" w:hAnsi="Arial" w:cs="Arial"/>
          <w:sz w:val="22"/>
          <w:szCs w:val="22"/>
        </w:rPr>
      </w:pPr>
    </w:p>
    <w:p w:rsidR="007E78BB" w:rsidRDefault="007E78BB">
      <w:pPr>
        <w:spacing w:line="276" w:lineRule="auto"/>
        <w:ind w:left="0" w:hanging="2"/>
        <w:rPr>
          <w:rFonts w:ascii="Arial" w:eastAsia="Arial" w:hAnsi="Arial" w:cs="Arial"/>
          <w:sz w:val="22"/>
          <w:szCs w:val="22"/>
        </w:rPr>
      </w:pPr>
    </w:p>
    <w:tbl>
      <w:tblPr>
        <w:tblStyle w:val="af8"/>
        <w:tblW w:w="3118" w:type="dxa"/>
        <w:tblInd w:w="12333" w:type="dxa"/>
        <w:tblLayout w:type="fixed"/>
        <w:tblLook w:val="0000" w:firstRow="0" w:lastRow="0" w:firstColumn="0" w:lastColumn="0" w:noHBand="0" w:noVBand="0"/>
      </w:tblPr>
      <w:tblGrid>
        <w:gridCol w:w="3118"/>
      </w:tblGrid>
      <w:tr w:rsidR="007E78BB" w:rsidTr="00D25827">
        <w:tc>
          <w:tcPr>
            <w:tcW w:w="3118" w:type="dxa"/>
          </w:tcPr>
          <w:p w:rsidR="007E78BB" w:rsidRDefault="00AE0F79">
            <w:pPr>
              <w:widowControl/>
              <w:ind w:left="1" w:hanging="3"/>
              <w:rPr>
                <w:sz w:val="28"/>
                <w:szCs w:val="28"/>
              </w:rPr>
            </w:pPr>
            <w:r>
              <w:rPr>
                <w:sz w:val="28"/>
                <w:szCs w:val="28"/>
              </w:rPr>
              <w:t>ЗАТВЕРДЖЕНО</w:t>
            </w:r>
          </w:p>
        </w:tc>
      </w:tr>
      <w:tr w:rsidR="007E78BB" w:rsidTr="00D25827">
        <w:tc>
          <w:tcPr>
            <w:tcW w:w="3118" w:type="dxa"/>
          </w:tcPr>
          <w:p w:rsidR="007E78BB" w:rsidRDefault="00AE0F79">
            <w:pPr>
              <w:widowControl/>
              <w:ind w:left="1" w:hanging="3"/>
              <w:rPr>
                <w:sz w:val="28"/>
                <w:szCs w:val="28"/>
              </w:rPr>
            </w:pPr>
            <w:r>
              <w:rPr>
                <w:sz w:val="28"/>
                <w:szCs w:val="28"/>
              </w:rPr>
              <w:t>наказом Міністерства                                       економіки України</w:t>
            </w:r>
          </w:p>
        </w:tc>
      </w:tr>
      <w:tr w:rsidR="007E78BB" w:rsidTr="00D25827">
        <w:tc>
          <w:tcPr>
            <w:tcW w:w="3118" w:type="dxa"/>
          </w:tcPr>
          <w:p w:rsidR="000E3057" w:rsidRDefault="000E3057" w:rsidP="000E3057">
            <w:pPr>
              <w:widowControl/>
              <w:ind w:leftChars="0" w:left="3" w:hanging="3"/>
              <w:rPr>
                <w:sz w:val="28"/>
                <w:szCs w:val="28"/>
              </w:rPr>
            </w:pPr>
            <w:r>
              <w:rPr>
                <w:sz w:val="28"/>
                <w:szCs w:val="28"/>
              </w:rPr>
              <w:t>від 25.10.2021 р. № 59-д</w:t>
            </w:r>
          </w:p>
          <w:p w:rsidR="007E78BB" w:rsidRPr="00354F57" w:rsidRDefault="007E78BB">
            <w:pPr>
              <w:widowControl/>
              <w:ind w:left="1" w:hanging="3"/>
              <w:rPr>
                <w:color w:val="auto"/>
                <w:sz w:val="28"/>
                <w:szCs w:val="28"/>
              </w:rPr>
            </w:pPr>
          </w:p>
          <w:p w:rsidR="007E78BB" w:rsidRDefault="007E78BB">
            <w:pPr>
              <w:widowControl/>
              <w:rPr>
                <w:sz w:val="10"/>
                <w:szCs w:val="10"/>
              </w:rPr>
            </w:pPr>
          </w:p>
        </w:tc>
      </w:tr>
    </w:tbl>
    <w:p w:rsidR="007E78BB" w:rsidRDefault="007E78BB">
      <w:pPr>
        <w:widowControl/>
        <w:ind w:left="0" w:hanging="2"/>
        <w:jc w:val="center"/>
        <w:rPr>
          <w:rFonts w:ascii="Arial" w:eastAsia="Arial" w:hAnsi="Arial" w:cs="Arial"/>
          <w:sz w:val="22"/>
          <w:szCs w:val="22"/>
        </w:rPr>
      </w:pPr>
    </w:p>
    <w:p w:rsidR="007E78BB" w:rsidRDefault="00AE0F79">
      <w:pPr>
        <w:widowControl/>
        <w:pBdr>
          <w:top w:val="nil"/>
          <w:left w:val="nil"/>
          <w:bottom w:val="nil"/>
          <w:right w:val="nil"/>
          <w:between w:val="nil"/>
        </w:pBdr>
        <w:spacing w:line="240" w:lineRule="auto"/>
        <w:ind w:left="1" w:hanging="3"/>
        <w:jc w:val="center"/>
        <w:rPr>
          <w:b/>
          <w:sz w:val="28"/>
          <w:szCs w:val="28"/>
        </w:rPr>
      </w:pPr>
      <w:r>
        <w:rPr>
          <w:b/>
          <w:sz w:val="28"/>
          <w:szCs w:val="28"/>
        </w:rPr>
        <w:t>УМОВИ</w:t>
      </w:r>
      <w:r>
        <w:rPr>
          <w:b/>
          <w:sz w:val="28"/>
          <w:szCs w:val="28"/>
        </w:rPr>
        <w:br/>
        <w:t xml:space="preserve">проведення конкурсу </w:t>
      </w:r>
    </w:p>
    <w:p w:rsidR="00056696" w:rsidRDefault="00AE0F79" w:rsidP="00986F69">
      <w:pPr>
        <w:widowControl/>
        <w:pBdr>
          <w:top w:val="nil"/>
          <w:left w:val="nil"/>
          <w:bottom w:val="nil"/>
          <w:right w:val="nil"/>
          <w:between w:val="nil"/>
        </w:pBdr>
        <w:spacing w:line="240" w:lineRule="auto"/>
        <w:ind w:left="1" w:hanging="3"/>
        <w:jc w:val="center"/>
        <w:rPr>
          <w:sz w:val="28"/>
          <w:szCs w:val="28"/>
        </w:rPr>
      </w:pPr>
      <w:r>
        <w:rPr>
          <w:sz w:val="28"/>
          <w:szCs w:val="28"/>
        </w:rPr>
        <w:t xml:space="preserve">на зайняття посади </w:t>
      </w:r>
      <w:r w:rsidR="00CA305E" w:rsidRPr="00CA305E">
        <w:rPr>
          <w:sz w:val="28"/>
          <w:szCs w:val="28"/>
        </w:rPr>
        <w:t>керівник</w:t>
      </w:r>
      <w:r w:rsidR="00CA305E">
        <w:rPr>
          <w:sz w:val="28"/>
          <w:szCs w:val="28"/>
        </w:rPr>
        <w:t>а</w:t>
      </w:r>
      <w:r w:rsidR="00CA305E" w:rsidRPr="00CA305E">
        <w:rPr>
          <w:sz w:val="28"/>
          <w:szCs w:val="28"/>
        </w:rPr>
        <w:t xml:space="preserve"> експертної групи у сфері захисту рослин директорату державної політики у сфері</w:t>
      </w:r>
    </w:p>
    <w:p w:rsidR="007E78BB" w:rsidRPr="000E0B7F" w:rsidRDefault="00CA305E" w:rsidP="00986F69">
      <w:pPr>
        <w:widowControl/>
        <w:pBdr>
          <w:top w:val="nil"/>
          <w:left w:val="nil"/>
          <w:bottom w:val="nil"/>
          <w:right w:val="nil"/>
          <w:between w:val="nil"/>
        </w:pBdr>
        <w:spacing w:line="240" w:lineRule="auto"/>
        <w:ind w:left="1" w:hanging="3"/>
        <w:jc w:val="center"/>
        <w:rPr>
          <w:sz w:val="16"/>
          <w:szCs w:val="16"/>
        </w:rPr>
      </w:pPr>
      <w:r w:rsidRPr="00CA305E">
        <w:rPr>
          <w:sz w:val="28"/>
          <w:szCs w:val="28"/>
        </w:rPr>
        <w:t>санітарних та фітосанітарних заходів</w:t>
      </w:r>
      <w:r w:rsidR="00AE0F79" w:rsidRPr="000E0B7F">
        <w:rPr>
          <w:sz w:val="28"/>
          <w:szCs w:val="28"/>
        </w:rPr>
        <w:t>, категорія</w:t>
      </w:r>
      <w:r w:rsidR="00AE0F79">
        <w:rPr>
          <w:sz w:val="28"/>
          <w:szCs w:val="28"/>
        </w:rPr>
        <w:t xml:space="preserve"> «Б»</w:t>
      </w:r>
    </w:p>
    <w:p w:rsidR="002259BB" w:rsidRDefault="002259BB" w:rsidP="000E0B7F">
      <w:pPr>
        <w:widowControl/>
        <w:pBdr>
          <w:top w:val="nil"/>
          <w:left w:val="nil"/>
          <w:bottom w:val="nil"/>
          <w:right w:val="nil"/>
          <w:between w:val="nil"/>
        </w:pBdr>
        <w:spacing w:line="240" w:lineRule="auto"/>
        <w:ind w:leftChars="0" w:left="0" w:firstLineChars="0" w:firstLine="0"/>
        <w:rPr>
          <w:sz w:val="16"/>
          <w:szCs w:val="16"/>
        </w:rPr>
      </w:pPr>
    </w:p>
    <w:tbl>
      <w:tblPr>
        <w:tblStyle w:val="af9"/>
        <w:tblW w:w="15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4182"/>
        <w:gridCol w:w="10205"/>
      </w:tblGrid>
      <w:tr w:rsidR="007E78BB">
        <w:tc>
          <w:tcPr>
            <w:tcW w:w="15323" w:type="dxa"/>
            <w:gridSpan w:val="3"/>
            <w:vAlign w:val="center"/>
          </w:tcPr>
          <w:p w:rsidR="007E78BB" w:rsidRDefault="00AE0F79">
            <w:pPr>
              <w:widowControl/>
              <w:pBdr>
                <w:top w:val="nil"/>
                <w:left w:val="nil"/>
                <w:bottom w:val="nil"/>
                <w:right w:val="nil"/>
                <w:between w:val="nil"/>
              </w:pBdr>
              <w:spacing w:line="240" w:lineRule="auto"/>
              <w:ind w:left="1" w:hanging="3"/>
              <w:jc w:val="center"/>
              <w:rPr>
                <w:sz w:val="28"/>
                <w:szCs w:val="28"/>
              </w:rPr>
            </w:pPr>
            <w:r>
              <w:rPr>
                <w:sz w:val="28"/>
                <w:szCs w:val="28"/>
              </w:rPr>
              <w:t>Загальні умови</w:t>
            </w:r>
          </w:p>
        </w:tc>
      </w:tr>
      <w:tr w:rsidR="007E78BB">
        <w:trPr>
          <w:trHeight w:val="1255"/>
        </w:trPr>
        <w:tc>
          <w:tcPr>
            <w:tcW w:w="5118" w:type="dxa"/>
            <w:gridSpan w:val="2"/>
          </w:tcPr>
          <w:p w:rsidR="007E78BB" w:rsidRDefault="00AE0F79">
            <w:pPr>
              <w:widowControl/>
              <w:pBdr>
                <w:top w:val="nil"/>
                <w:left w:val="nil"/>
                <w:bottom w:val="nil"/>
                <w:right w:val="nil"/>
                <w:between w:val="nil"/>
              </w:pBdr>
              <w:spacing w:line="240" w:lineRule="auto"/>
              <w:ind w:left="1" w:right="126" w:hanging="3"/>
              <w:rPr>
                <w:sz w:val="28"/>
                <w:szCs w:val="28"/>
              </w:rPr>
            </w:pPr>
            <w:r>
              <w:rPr>
                <w:sz w:val="28"/>
                <w:szCs w:val="28"/>
              </w:rPr>
              <w:t>Посадові обов’язки</w:t>
            </w:r>
          </w:p>
        </w:tc>
        <w:tc>
          <w:tcPr>
            <w:tcW w:w="10205" w:type="dxa"/>
          </w:tcPr>
          <w:p w:rsidR="00CA305E"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bookmarkStart w:id="0" w:name="_heading=h.30j0zll" w:colFirst="0" w:colLast="0"/>
            <w:bookmarkEnd w:id="0"/>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забезпечення координації, здійснення моніторингу та оцінювання результатів реалізації державної політики у сфері карантину та захисту рослин за визначеними показниками досягнення поставлених цілей, включаючи результати діяльності центральних органів виконавчої влади, діяльність яких спрямовується та координується Кабінетом Міністрів України через Мінекономіки, підготовка пропозицій щодо продовження, перегляду або коригування державної політики;</w:t>
            </w:r>
            <w:r w:rsidRPr="00CA305E">
              <w:rPr>
                <w:rFonts w:eastAsia="Calibri"/>
                <w:color w:val="auto"/>
                <w:sz w:val="28"/>
                <w:szCs w:val="28"/>
                <w:lang w:val="uk-UA"/>
              </w:rPr>
              <w:br/>
              <w:t>-</w:t>
            </w:r>
            <w:r w:rsidR="000E3057">
              <w:rPr>
                <w:rFonts w:eastAsia="Calibri"/>
                <w:color w:val="auto"/>
                <w:sz w:val="28"/>
                <w:szCs w:val="28"/>
                <w:lang w:val="uk-UA"/>
              </w:rPr>
              <w:t> </w:t>
            </w:r>
            <w:r w:rsidRPr="00CA305E">
              <w:rPr>
                <w:rFonts w:eastAsia="Calibri"/>
                <w:color w:val="auto"/>
                <w:sz w:val="28"/>
                <w:szCs w:val="28"/>
                <w:lang w:val="uk-UA"/>
              </w:rPr>
              <w:t>розробка пропозицій щодо формування державної політики за результатами проведеного аналізу стану справ у сфері карантину та захисту рослин, узгодження інтересів, цілей та шляхів розв’язання існуючих проблем, підготовка відповідних проектів документів державної політики, аналітичних, інформаційних, довідкових та інших матеріалів та подання їх на розгляд директору директорату;</w:t>
            </w:r>
            <w:r w:rsidRPr="00CA305E">
              <w:rPr>
                <w:rFonts w:eastAsia="Calibri"/>
                <w:color w:val="auto"/>
                <w:sz w:val="28"/>
                <w:szCs w:val="28"/>
                <w:lang w:val="uk-UA"/>
              </w:rPr>
              <w:br/>
              <w:t>-</w:t>
            </w:r>
            <w:r w:rsidR="000E3057">
              <w:rPr>
                <w:rFonts w:eastAsia="Calibri"/>
                <w:color w:val="auto"/>
                <w:sz w:val="28"/>
                <w:szCs w:val="28"/>
                <w:lang w:val="uk-UA"/>
              </w:rPr>
              <w:t> </w:t>
            </w:r>
            <w:r w:rsidRPr="00CA305E">
              <w:rPr>
                <w:rFonts w:eastAsia="Calibri"/>
                <w:color w:val="auto"/>
                <w:sz w:val="28"/>
                <w:szCs w:val="28"/>
                <w:lang w:val="uk-UA"/>
              </w:rPr>
              <w:t>визначення обсягів фінансових та матеріальних витрат, необхідних для забезпечення формування та реалізації державної політики у сфері карантину та захисту рослин, а також джерел покриття можливих втрат доходів або додаткових видатків державного бюджету;</w:t>
            </w:r>
          </w:p>
          <w:p w:rsidR="00CA305E"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забезпечення нормативно-правового регулювання у сфері компетенції експертної групи;</w:t>
            </w:r>
            <w:r w:rsidRPr="00CA305E">
              <w:rPr>
                <w:rFonts w:eastAsia="Calibri"/>
                <w:color w:val="auto"/>
                <w:sz w:val="28"/>
                <w:szCs w:val="28"/>
                <w:lang w:val="uk-UA"/>
              </w:rPr>
              <w:br/>
              <w:t>-</w:t>
            </w:r>
            <w:r w:rsidR="000E3057">
              <w:rPr>
                <w:rFonts w:eastAsia="Calibri"/>
                <w:color w:val="auto"/>
                <w:sz w:val="28"/>
                <w:szCs w:val="28"/>
                <w:lang w:val="uk-UA"/>
              </w:rPr>
              <w:t> </w:t>
            </w:r>
            <w:r w:rsidRPr="00CA305E">
              <w:rPr>
                <w:rFonts w:eastAsia="Calibri"/>
                <w:color w:val="auto"/>
                <w:sz w:val="28"/>
                <w:szCs w:val="28"/>
                <w:lang w:val="uk-UA"/>
              </w:rPr>
              <w:t xml:space="preserve">здійснення фахової комунікації із заінтересованими сторонами, у тому числі з тими, що є об’єктами впливу державної політики у сфері компетенції експертної групи, діалогу на галузевому рівні з метою залучення заінтересованих сторін до </w:t>
            </w:r>
            <w:r w:rsidRPr="00CA305E">
              <w:rPr>
                <w:rFonts w:eastAsia="Calibri"/>
                <w:color w:val="auto"/>
                <w:sz w:val="28"/>
                <w:szCs w:val="28"/>
                <w:lang w:val="uk-UA"/>
              </w:rPr>
              <w:lastRenderedPageBreak/>
              <w:t>процесу забезпечення формування державної політики. Забезпечення взаємодії Мінекономіки із Державною службою України з питань безпечності харчових продуктів та захисту споживачів щодо реалізації державної політики у сфері компетенції експертної групи;</w:t>
            </w:r>
          </w:p>
          <w:p w:rsidR="00CA305E"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участь у заходах з інформування громадськості щодо засад державної політики Мінекономіки з питань, що належать до сфери карантину та захисту рослин, підготовка методичних рекомендацій та надання необхідних роз’яснень;</w:t>
            </w:r>
            <w:r w:rsidRPr="00CA305E">
              <w:rPr>
                <w:rFonts w:eastAsia="Calibri"/>
                <w:color w:val="auto"/>
                <w:sz w:val="28"/>
                <w:szCs w:val="28"/>
                <w:lang w:val="uk-UA"/>
              </w:rPr>
              <w:br/>
              <w:t>-</w:t>
            </w:r>
            <w:r w:rsidR="000E3057">
              <w:rPr>
                <w:rFonts w:eastAsia="Calibri"/>
                <w:color w:val="auto"/>
                <w:sz w:val="28"/>
                <w:szCs w:val="28"/>
                <w:lang w:val="uk-UA"/>
              </w:rPr>
              <w:t> </w:t>
            </w:r>
            <w:r w:rsidRPr="00CA305E">
              <w:rPr>
                <w:rFonts w:eastAsia="Calibri"/>
                <w:color w:val="auto"/>
                <w:sz w:val="28"/>
                <w:szCs w:val="28"/>
                <w:lang w:val="uk-UA"/>
              </w:rPr>
              <w:t>здійснення заходів щодо адаптації та наближення законодавства України до законодавства Європейського Союзу відповідно до зобов’язань України в рамках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 тому числі створення відповідних адміністративних та інституціональних засад, вивчення європейського досвіду у сфері карантину та захисту рослин;</w:t>
            </w:r>
          </w:p>
          <w:p w:rsidR="00CA305E"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участь у процесі стратегічного планування, підготовка пропозицій до планів пріоритетів дій Уряду та планів діяльності Мінекономіки з питань, що належать до сфери компетенції експертної групи;</w:t>
            </w:r>
          </w:p>
          <w:p w:rsidR="00CA305E"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участь у розробленні та/або забезпеченні виконання загальнодержавних програм, у бюджетному процесі на рівні Мінекономіки з метою забезпечення ефективного використання бюджетних коштів у сфері компетенції експертної групи;</w:t>
            </w:r>
          </w:p>
          <w:p w:rsidR="007E78BB" w:rsidRPr="00014F16" w:rsidRDefault="00CA305E" w:rsidP="00986F69">
            <w:pPr>
              <w:pStyle w:val="ad"/>
              <w:spacing w:before="0" w:beforeAutospacing="0" w:after="0" w:afterAutospacing="0"/>
              <w:ind w:leftChars="0" w:left="0" w:right="138" w:firstLineChars="0"/>
              <w:jc w:val="both"/>
              <w:rPr>
                <w:rFonts w:eastAsia="Calibri"/>
                <w:color w:val="auto"/>
                <w:sz w:val="28"/>
                <w:szCs w:val="28"/>
                <w:lang w:val="uk-UA"/>
              </w:rPr>
            </w:pPr>
            <w:r w:rsidRPr="00CA305E">
              <w:rPr>
                <w:rFonts w:eastAsia="Calibri"/>
                <w:color w:val="auto"/>
                <w:sz w:val="28"/>
                <w:szCs w:val="28"/>
                <w:lang w:val="uk-UA"/>
              </w:rPr>
              <w:t>-</w:t>
            </w:r>
            <w:r w:rsidR="000E3057">
              <w:rPr>
                <w:rFonts w:eastAsia="Calibri"/>
                <w:color w:val="auto"/>
                <w:sz w:val="28"/>
                <w:szCs w:val="28"/>
                <w:lang w:val="uk-UA"/>
              </w:rPr>
              <w:t> </w:t>
            </w:r>
            <w:r w:rsidRPr="00CA305E">
              <w:rPr>
                <w:rFonts w:eastAsia="Calibri"/>
                <w:color w:val="auto"/>
                <w:sz w:val="28"/>
                <w:szCs w:val="28"/>
                <w:lang w:val="uk-UA"/>
              </w:rPr>
              <w:t>організація взаємодії з донорами міжнародної технічної допомоги, міжнародними фінансовими організаціями, аналіз та підготовка пропозицій щодо використання донорської та міжнародної фінансової допомоги у сфері карантину та захисту рослин. Участь у заходах щодо підготовки нотифікацій з боку України та обробці запитів з боку держав-членів СОТ відповідно до сфери карантину та захисту рослин, та засіданнях профільних міжнародних організацій</w:t>
            </w:r>
          </w:p>
        </w:tc>
      </w:tr>
      <w:tr w:rsidR="007E78BB">
        <w:tc>
          <w:tcPr>
            <w:tcW w:w="5118" w:type="dxa"/>
            <w:gridSpan w:val="2"/>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lastRenderedPageBreak/>
              <w:t>Умови оплати праці</w:t>
            </w:r>
          </w:p>
        </w:tc>
        <w:tc>
          <w:tcPr>
            <w:tcW w:w="10205" w:type="dxa"/>
          </w:tcPr>
          <w:p w:rsidR="007E78BB" w:rsidRDefault="00AE0F79">
            <w:pPr>
              <w:widowControl/>
              <w:ind w:left="1" w:hanging="3"/>
              <w:jc w:val="both"/>
              <w:rPr>
                <w:sz w:val="28"/>
                <w:szCs w:val="28"/>
              </w:rPr>
            </w:pPr>
            <w:bookmarkStart w:id="1" w:name="_heading=h.gjdgxs" w:colFirst="0" w:colLast="0"/>
            <w:bookmarkEnd w:id="1"/>
            <w:r>
              <w:rPr>
                <w:sz w:val="28"/>
                <w:szCs w:val="28"/>
              </w:rPr>
              <w:t xml:space="preserve">посадовий оклад – </w:t>
            </w:r>
            <w:r w:rsidR="002259BB" w:rsidRPr="00963799">
              <w:rPr>
                <w:rFonts w:eastAsia="Calibri"/>
                <w:sz w:val="28"/>
                <w:szCs w:val="28"/>
              </w:rPr>
              <w:t>1</w:t>
            </w:r>
            <w:r w:rsidR="00CA305E">
              <w:rPr>
                <w:rFonts w:eastAsia="Calibri"/>
                <w:sz w:val="28"/>
                <w:szCs w:val="28"/>
              </w:rPr>
              <w:t>3</w:t>
            </w:r>
            <w:r w:rsidR="002259BB" w:rsidRPr="00963799">
              <w:rPr>
                <w:rFonts w:eastAsia="Calibri"/>
                <w:sz w:val="28"/>
                <w:szCs w:val="28"/>
              </w:rPr>
              <w:t> </w:t>
            </w:r>
            <w:r w:rsidR="00CA305E">
              <w:rPr>
                <w:rFonts w:eastAsia="Calibri"/>
                <w:sz w:val="28"/>
                <w:szCs w:val="28"/>
              </w:rPr>
              <w:t>6</w:t>
            </w:r>
            <w:r w:rsidR="002259BB" w:rsidRPr="00963799">
              <w:rPr>
                <w:rFonts w:eastAsia="Calibri"/>
                <w:sz w:val="28"/>
                <w:szCs w:val="28"/>
              </w:rPr>
              <w:t>00</w:t>
            </w:r>
            <w:r w:rsidR="002259BB" w:rsidRPr="005B714D">
              <w:rPr>
                <w:rFonts w:eastAsia="Calibri"/>
                <w:sz w:val="26"/>
                <w:szCs w:val="26"/>
              </w:rPr>
              <w:t xml:space="preserve"> </w:t>
            </w:r>
            <w:r>
              <w:rPr>
                <w:sz w:val="28"/>
                <w:szCs w:val="28"/>
              </w:rPr>
              <w:t>грн;</w:t>
            </w:r>
          </w:p>
          <w:p w:rsidR="007E78BB" w:rsidRDefault="00AE0F79">
            <w:pPr>
              <w:widowControl/>
              <w:ind w:left="1" w:hanging="3"/>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7E78BB" w:rsidRDefault="00AE0F79">
            <w:pPr>
              <w:widowControl/>
              <w:ind w:left="1" w:hanging="3"/>
              <w:jc w:val="both"/>
              <w:rPr>
                <w:sz w:val="28"/>
                <w:szCs w:val="28"/>
              </w:rPr>
            </w:pPr>
            <w:r>
              <w:rPr>
                <w:sz w:val="28"/>
                <w:szCs w:val="28"/>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w:t>
            </w:r>
          </w:p>
        </w:tc>
      </w:tr>
      <w:tr w:rsidR="007E78BB">
        <w:tc>
          <w:tcPr>
            <w:tcW w:w="5118" w:type="dxa"/>
            <w:gridSpan w:val="2"/>
            <w:tcBorders>
              <w:top w:val="single" w:sz="4" w:space="0" w:color="000000"/>
              <w:left w:val="single" w:sz="4" w:space="0" w:color="000000"/>
              <w:bottom w:val="single" w:sz="4" w:space="0" w:color="000000"/>
              <w:right w:val="single" w:sz="4" w:space="0" w:color="000000"/>
            </w:tcBorders>
            <w:vAlign w:val="center"/>
          </w:tcPr>
          <w:p w:rsidR="007E78BB" w:rsidRDefault="00AE0F79">
            <w:pPr>
              <w:widowControl/>
              <w:ind w:left="1" w:hanging="3"/>
              <w:rPr>
                <w:sz w:val="28"/>
                <w:szCs w:val="28"/>
              </w:rPr>
            </w:pPr>
            <w:r>
              <w:rPr>
                <w:sz w:val="28"/>
                <w:szCs w:val="28"/>
              </w:rPr>
              <w:lastRenderedPageBreak/>
              <w:t>Інформація про строковість чи безстроковість призначення на посаду</w:t>
            </w:r>
          </w:p>
        </w:tc>
        <w:tc>
          <w:tcPr>
            <w:tcW w:w="10205" w:type="dxa"/>
            <w:tcBorders>
              <w:top w:val="single" w:sz="4" w:space="0" w:color="000000"/>
              <w:left w:val="single" w:sz="4" w:space="0" w:color="000000"/>
              <w:bottom w:val="single" w:sz="4" w:space="0" w:color="000000"/>
              <w:right w:val="single" w:sz="4" w:space="0" w:color="000000"/>
            </w:tcBorders>
          </w:tcPr>
          <w:p w:rsidR="007E78BB" w:rsidRDefault="00AE0F79" w:rsidP="002C312B">
            <w:pPr>
              <w:widowControl/>
              <w:shd w:val="clear" w:color="auto" w:fill="FFFFFF" w:themeFill="background1"/>
              <w:ind w:left="1" w:hanging="3"/>
              <w:rPr>
                <w:sz w:val="28"/>
                <w:szCs w:val="28"/>
              </w:rPr>
            </w:pPr>
            <w:r w:rsidRPr="002C312B">
              <w:rPr>
                <w:sz w:val="28"/>
                <w:szCs w:val="28"/>
              </w:rPr>
              <w:t>безстроково;</w:t>
            </w:r>
          </w:p>
          <w:p w:rsidR="007E78BB" w:rsidRDefault="007337A6">
            <w:pPr>
              <w:widowControl/>
              <w:ind w:left="0" w:hanging="2"/>
              <w:jc w:val="both"/>
              <w:rPr>
                <w:sz w:val="28"/>
                <w:szCs w:val="28"/>
              </w:rPr>
            </w:pPr>
            <w:hyperlink r:id="rId6">
              <w:r w:rsidR="00AE0F79">
                <w:rPr>
                  <w:sz w:val="28"/>
                  <w:szCs w:val="28"/>
                  <w:highlight w:val="white"/>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p>
        </w:tc>
      </w:tr>
      <w:tr w:rsidR="007E78BB">
        <w:tc>
          <w:tcPr>
            <w:tcW w:w="5118" w:type="dxa"/>
            <w:gridSpan w:val="2"/>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Перелік інформації, необхідної для участі в конкурсі, та строк її подання</w:t>
            </w:r>
          </w:p>
        </w:tc>
        <w:tc>
          <w:tcPr>
            <w:tcW w:w="10205"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jc w:val="both"/>
              <w:rPr>
                <w:sz w:val="28"/>
                <w:szCs w:val="28"/>
              </w:rPr>
            </w:pPr>
            <w:r>
              <w:rPr>
                <w:sz w:val="28"/>
                <w:szCs w:val="28"/>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w:t>
            </w:r>
            <w:r w:rsidR="00C941E4">
              <w:rPr>
                <w:sz w:val="28"/>
                <w:szCs w:val="28"/>
              </w:rPr>
              <w:t xml:space="preserve">                   </w:t>
            </w:r>
            <w:r>
              <w:rPr>
                <w:sz w:val="28"/>
                <w:szCs w:val="28"/>
              </w:rPr>
              <w:t xml:space="preserve">від 25 березня 2016 року № 246; </w:t>
            </w:r>
          </w:p>
          <w:p w:rsidR="007E78BB" w:rsidRDefault="00AE0F79">
            <w:pPr>
              <w:widowControl/>
              <w:ind w:left="1" w:hanging="3"/>
              <w:jc w:val="both"/>
              <w:rPr>
                <w:sz w:val="28"/>
                <w:szCs w:val="28"/>
              </w:rPr>
            </w:pPr>
            <w:r>
              <w:rPr>
                <w:sz w:val="28"/>
                <w:szCs w:val="28"/>
              </w:rPr>
              <w:t>2) резюме за формою згідно з додатком 2</w:t>
            </w:r>
            <w:r>
              <w:rPr>
                <w:sz w:val="28"/>
                <w:szCs w:val="28"/>
                <w:vertAlign w:val="superscript"/>
              </w:rPr>
              <w:t>1</w:t>
            </w:r>
            <w:r>
              <w:rPr>
                <w:sz w:val="28"/>
                <w:szCs w:val="28"/>
              </w:rPr>
              <w:t>, в якому обов’язково зазначається така інформація:</w:t>
            </w:r>
          </w:p>
          <w:p w:rsidR="007E78BB" w:rsidRDefault="00AE0F79">
            <w:pPr>
              <w:widowControl/>
              <w:ind w:left="1" w:hanging="3"/>
              <w:jc w:val="both"/>
              <w:rPr>
                <w:sz w:val="28"/>
                <w:szCs w:val="28"/>
              </w:rPr>
            </w:pPr>
            <w:r>
              <w:rPr>
                <w:sz w:val="28"/>
                <w:szCs w:val="28"/>
              </w:rPr>
              <w:t>прізвище, ім’я, по батькові кандидата;</w:t>
            </w:r>
          </w:p>
          <w:p w:rsidR="007E78BB" w:rsidRDefault="00AE0F79">
            <w:pPr>
              <w:widowControl/>
              <w:ind w:left="1" w:hanging="3"/>
              <w:jc w:val="both"/>
              <w:rPr>
                <w:sz w:val="28"/>
                <w:szCs w:val="28"/>
              </w:rPr>
            </w:pPr>
            <w:r>
              <w:rPr>
                <w:sz w:val="28"/>
                <w:szCs w:val="28"/>
              </w:rPr>
              <w:t>реквізити документа, що посвідчує особу та підтверджує громадянство України;</w:t>
            </w:r>
          </w:p>
          <w:p w:rsidR="007E78BB" w:rsidRDefault="00AE0F79">
            <w:pPr>
              <w:widowControl/>
              <w:ind w:left="1" w:hanging="3"/>
              <w:jc w:val="both"/>
              <w:rPr>
                <w:sz w:val="28"/>
                <w:szCs w:val="28"/>
              </w:rPr>
            </w:pPr>
            <w:r>
              <w:rPr>
                <w:sz w:val="28"/>
                <w:szCs w:val="28"/>
              </w:rPr>
              <w:t>підтвердження наявності відповідного ступеня вищої освіти;</w:t>
            </w:r>
          </w:p>
          <w:p w:rsidR="007E78BB" w:rsidRDefault="00AE0F79">
            <w:pPr>
              <w:widowControl/>
              <w:shd w:val="clear" w:color="auto" w:fill="FFFFFF"/>
              <w:ind w:left="1" w:hanging="3"/>
              <w:jc w:val="both"/>
              <w:rPr>
                <w:sz w:val="28"/>
                <w:szCs w:val="28"/>
              </w:rPr>
            </w:pPr>
            <w:r>
              <w:rPr>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7E78BB" w:rsidRDefault="00AE0F79">
            <w:pPr>
              <w:widowControl/>
              <w:ind w:left="1" w:hanging="3"/>
              <w:jc w:val="both"/>
              <w:rPr>
                <w:sz w:val="28"/>
                <w:szCs w:val="28"/>
              </w:rPr>
            </w:pPr>
            <w:r>
              <w:rPr>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E78BB" w:rsidRDefault="00AE0F79">
            <w:pPr>
              <w:widowControl/>
              <w:ind w:left="1" w:hanging="3"/>
              <w:jc w:val="both"/>
              <w:rPr>
                <w:sz w:val="28"/>
                <w:szCs w:val="28"/>
              </w:rPr>
            </w:pPr>
            <w:r>
              <w:rPr>
                <w:sz w:val="28"/>
                <w:szCs w:val="28"/>
              </w:rPr>
              <w:t>Подача додатків до заяви не є обов’язковою</w:t>
            </w:r>
            <w:r w:rsidR="00CC65B7">
              <w:rPr>
                <w:sz w:val="28"/>
                <w:szCs w:val="28"/>
              </w:rPr>
              <w:t>;</w:t>
            </w:r>
          </w:p>
          <w:p w:rsidR="00CC65B7" w:rsidRDefault="00CC65B7">
            <w:pPr>
              <w:widowControl/>
              <w:ind w:left="1" w:hanging="3"/>
              <w:jc w:val="both"/>
              <w:rPr>
                <w:sz w:val="28"/>
                <w:szCs w:val="28"/>
              </w:rPr>
            </w:pPr>
            <w:r>
              <w:rPr>
                <w:sz w:val="28"/>
                <w:szCs w:val="28"/>
              </w:rPr>
              <w:t>3</w:t>
            </w:r>
            <w:r>
              <w:rPr>
                <w:sz w:val="28"/>
                <w:szCs w:val="28"/>
                <w:vertAlign w:val="superscript"/>
              </w:rPr>
              <w:t>1</w:t>
            </w:r>
            <w:r>
              <w:rPr>
                <w:sz w:val="28"/>
                <w:szCs w:val="28"/>
              </w:rPr>
              <w:t xml:space="preserve">) </w:t>
            </w:r>
            <w:r w:rsidR="007D2E0C" w:rsidRPr="007D2E0C">
              <w:rPr>
                <w:sz w:val="28"/>
                <w:szCs w:val="28"/>
              </w:rPr>
              <w:t>копі</w:t>
            </w:r>
            <w:r w:rsidR="007D2E0C">
              <w:rPr>
                <w:sz w:val="28"/>
                <w:szCs w:val="28"/>
              </w:rPr>
              <w:t>я</w:t>
            </w:r>
            <w:r w:rsidR="007D2E0C" w:rsidRPr="007D2E0C">
              <w:rPr>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00064668">
              <w:rPr>
                <w:sz w:val="28"/>
                <w:szCs w:val="28"/>
              </w:rPr>
              <w:t>.</w:t>
            </w:r>
          </w:p>
          <w:p w:rsidR="00064668" w:rsidRPr="00CC65B7" w:rsidRDefault="00064668">
            <w:pPr>
              <w:widowControl/>
              <w:ind w:left="1" w:hanging="3"/>
              <w:jc w:val="both"/>
              <w:rPr>
                <w:sz w:val="28"/>
                <w:szCs w:val="28"/>
              </w:rPr>
            </w:pPr>
            <w:r w:rsidRPr="00064668">
              <w:rPr>
                <w:sz w:val="28"/>
                <w:szCs w:val="28"/>
              </w:rPr>
              <w:t>Державні службовці державного органу, в якому проводиться конкурс, які бажають взяти участь у конкурсі, подають лише заяву про участь у конкурсі</w:t>
            </w:r>
            <w:r w:rsidR="004C0EF8">
              <w:rPr>
                <w:sz w:val="28"/>
                <w:szCs w:val="28"/>
              </w:rPr>
              <w:t xml:space="preserve"> (додаток </w:t>
            </w:r>
            <w:r w:rsidR="00D27776">
              <w:rPr>
                <w:sz w:val="28"/>
                <w:szCs w:val="28"/>
              </w:rPr>
              <w:t>резюме встановленої форми)</w:t>
            </w:r>
            <w:r w:rsidRPr="00064668">
              <w:rPr>
                <w:sz w:val="28"/>
                <w:szCs w:val="28"/>
              </w:rPr>
              <w:t>.</w:t>
            </w:r>
          </w:p>
          <w:p w:rsidR="007E78BB" w:rsidRDefault="00AE0F79">
            <w:pPr>
              <w:widowControl/>
              <w:ind w:left="1" w:hanging="3"/>
              <w:jc w:val="both"/>
              <w:rPr>
                <w:sz w:val="28"/>
                <w:szCs w:val="28"/>
              </w:rPr>
            </w:pPr>
            <w:r>
              <w:rPr>
                <w:sz w:val="28"/>
                <w:szCs w:val="28"/>
              </w:rPr>
              <w:t xml:space="preserve">   </w:t>
            </w:r>
            <w:r w:rsidR="000E3057">
              <w:rPr>
                <w:sz w:val="28"/>
                <w:szCs w:val="28"/>
              </w:rPr>
              <w:t>Інформація приймається до 18 год. 00 хв. 01 листопада 2021 року.</w:t>
            </w:r>
          </w:p>
        </w:tc>
      </w:tr>
      <w:tr w:rsidR="007E78BB">
        <w:tc>
          <w:tcPr>
            <w:tcW w:w="5118" w:type="dxa"/>
            <w:gridSpan w:val="2"/>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Додаткові (необов’язкові) документи</w:t>
            </w:r>
          </w:p>
        </w:tc>
        <w:tc>
          <w:tcPr>
            <w:tcW w:w="10205" w:type="dxa"/>
            <w:tcBorders>
              <w:top w:val="single" w:sz="4" w:space="0" w:color="000000"/>
              <w:left w:val="single" w:sz="4" w:space="0" w:color="000000"/>
              <w:bottom w:val="single" w:sz="4" w:space="0" w:color="000000"/>
              <w:right w:val="single" w:sz="4" w:space="0" w:color="000000"/>
            </w:tcBorders>
          </w:tcPr>
          <w:p w:rsidR="00686C1F" w:rsidRPr="00686C1F" w:rsidRDefault="00686C1F" w:rsidP="00686C1F">
            <w:pPr>
              <w:widowControl/>
              <w:ind w:left="1" w:hanging="3"/>
              <w:jc w:val="both"/>
              <w:rPr>
                <w:sz w:val="28"/>
                <w:szCs w:val="28"/>
              </w:rPr>
            </w:pPr>
            <w:r w:rsidRPr="00686C1F">
              <w:rPr>
                <w:sz w:val="28"/>
                <w:szCs w:val="28"/>
              </w:rPr>
              <w:t>-</w:t>
            </w:r>
            <w:r w:rsidR="00056696">
              <w:rPr>
                <w:sz w:val="28"/>
                <w:szCs w:val="28"/>
              </w:rPr>
              <w:t> </w:t>
            </w:r>
            <w:r w:rsidRPr="00686C1F">
              <w:rPr>
                <w:sz w:val="28"/>
                <w:szCs w:val="28"/>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7E78BB" w:rsidRDefault="00686C1F" w:rsidP="00686C1F">
            <w:pPr>
              <w:widowControl/>
              <w:ind w:left="1" w:hanging="3"/>
              <w:jc w:val="both"/>
              <w:rPr>
                <w:sz w:val="28"/>
                <w:szCs w:val="28"/>
              </w:rPr>
            </w:pPr>
            <w:r w:rsidRPr="00686C1F">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78BB">
        <w:tc>
          <w:tcPr>
            <w:tcW w:w="5118" w:type="dxa"/>
            <w:gridSpan w:val="2"/>
            <w:tcBorders>
              <w:top w:val="single" w:sz="4" w:space="0" w:color="000000"/>
              <w:left w:val="single" w:sz="4" w:space="0" w:color="000000"/>
              <w:bottom w:val="single" w:sz="4" w:space="0" w:color="000000"/>
              <w:right w:val="single" w:sz="4" w:space="0" w:color="000000"/>
            </w:tcBorders>
            <w:vAlign w:val="center"/>
          </w:tcPr>
          <w:p w:rsidR="007E78BB" w:rsidRDefault="00686C1F">
            <w:pPr>
              <w:widowControl/>
              <w:ind w:left="1" w:hanging="3"/>
              <w:rPr>
                <w:sz w:val="28"/>
                <w:szCs w:val="28"/>
              </w:rPr>
            </w:pPr>
            <w:r>
              <w:rPr>
                <w:sz w:val="28"/>
                <w:szCs w:val="28"/>
              </w:rPr>
              <w:lastRenderedPageBreak/>
              <w:t>Місце, д</w:t>
            </w:r>
            <w:r w:rsidR="00AE0F79">
              <w:rPr>
                <w:sz w:val="28"/>
                <w:szCs w:val="28"/>
              </w:rPr>
              <w:t>ата і час початку проведення тестування</w:t>
            </w:r>
          </w:p>
          <w:p w:rsidR="00B2129A" w:rsidRDefault="00B2129A">
            <w:pPr>
              <w:widowControl/>
              <w:ind w:left="1" w:hanging="3"/>
              <w:rPr>
                <w:sz w:val="28"/>
                <w:szCs w:val="28"/>
              </w:rPr>
            </w:pPr>
          </w:p>
          <w:p w:rsidR="007E78BB" w:rsidRDefault="00686C1F">
            <w:pPr>
              <w:widowControl/>
              <w:ind w:left="1" w:hanging="3"/>
              <w:rPr>
                <w:sz w:val="28"/>
                <w:szCs w:val="28"/>
              </w:rPr>
            </w:pPr>
            <w:r w:rsidRPr="00686C1F">
              <w:rPr>
                <w:sz w:val="28"/>
                <w:szCs w:val="28"/>
              </w:rPr>
              <w:t>Місце або спосіб проведення співбесіди (із зазначенням електронної платформи для комунікації дистанційно)</w:t>
            </w:r>
          </w:p>
          <w:p w:rsidR="007E78BB" w:rsidRDefault="007E78BB">
            <w:pPr>
              <w:widowControl/>
              <w:ind w:left="1" w:hanging="3"/>
              <w:rPr>
                <w:sz w:val="28"/>
                <w:szCs w:val="28"/>
              </w:rPr>
            </w:pPr>
          </w:p>
          <w:p w:rsidR="007E78BB" w:rsidRDefault="00AE0F79">
            <w:pPr>
              <w:widowControl/>
              <w:spacing w:before="280"/>
              <w:ind w:left="1" w:hanging="3"/>
              <w:jc w:val="both"/>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7E78BB" w:rsidRDefault="007E78BB">
            <w:pPr>
              <w:widowControl/>
              <w:spacing w:before="280"/>
              <w:ind w:left="1" w:hanging="3"/>
              <w:rPr>
                <w:sz w:val="28"/>
                <w:szCs w:val="28"/>
              </w:rPr>
            </w:pPr>
          </w:p>
        </w:tc>
        <w:tc>
          <w:tcPr>
            <w:tcW w:w="10205" w:type="dxa"/>
            <w:tcBorders>
              <w:top w:val="single" w:sz="4" w:space="0" w:color="000000"/>
              <w:left w:val="single" w:sz="4" w:space="0" w:color="000000"/>
              <w:bottom w:val="single" w:sz="4" w:space="0" w:color="000000"/>
              <w:right w:val="single" w:sz="4" w:space="0" w:color="000000"/>
            </w:tcBorders>
          </w:tcPr>
          <w:p w:rsidR="007E78BB" w:rsidRDefault="00B2129A">
            <w:pPr>
              <w:widowControl/>
              <w:ind w:left="1" w:hanging="3"/>
              <w:jc w:val="both"/>
              <w:rPr>
                <w:sz w:val="28"/>
                <w:szCs w:val="28"/>
                <w:highlight w:val="white"/>
              </w:rPr>
            </w:pPr>
            <w:r w:rsidRPr="00B2129A">
              <w:rPr>
                <w:sz w:val="28"/>
                <w:szCs w:val="28"/>
                <w:highlight w:val="white"/>
              </w:rPr>
              <w:t xml:space="preserve">Центр оцінювання кандидатів на зайняття посад державної служби, м. Київ, </w:t>
            </w:r>
            <w:r w:rsidR="00B11C32">
              <w:rPr>
                <w:sz w:val="28"/>
                <w:szCs w:val="28"/>
                <w:highlight w:val="white"/>
              </w:rPr>
              <w:t xml:space="preserve">              </w:t>
            </w:r>
            <w:r w:rsidRPr="00B2129A">
              <w:rPr>
                <w:sz w:val="28"/>
                <w:szCs w:val="28"/>
                <w:highlight w:val="white"/>
              </w:rPr>
              <w:t xml:space="preserve">вул. Прорізна, </w:t>
            </w:r>
            <w:r w:rsidR="00E04491">
              <w:rPr>
                <w:sz w:val="28"/>
                <w:szCs w:val="28"/>
                <w:highlight w:val="white"/>
              </w:rPr>
              <w:t>15</w:t>
            </w:r>
            <w:r w:rsidR="000E3057">
              <w:rPr>
                <w:sz w:val="28"/>
                <w:szCs w:val="28"/>
                <w:highlight w:val="white"/>
              </w:rPr>
              <w:t>;</w:t>
            </w:r>
            <w:r w:rsidR="00E04491">
              <w:rPr>
                <w:sz w:val="28"/>
                <w:szCs w:val="28"/>
                <w:highlight w:val="white"/>
              </w:rPr>
              <w:t xml:space="preserve"> </w:t>
            </w:r>
            <w:r>
              <w:rPr>
                <w:sz w:val="28"/>
                <w:szCs w:val="28"/>
                <w:highlight w:val="white"/>
              </w:rPr>
              <w:t>1</w:t>
            </w:r>
            <w:r w:rsidR="000E3057">
              <w:rPr>
                <w:sz w:val="28"/>
                <w:szCs w:val="28"/>
                <w:highlight w:val="white"/>
              </w:rPr>
              <w:t>1</w:t>
            </w:r>
            <w:r w:rsidR="00AE0F79">
              <w:rPr>
                <w:sz w:val="28"/>
                <w:szCs w:val="28"/>
                <w:highlight w:val="white"/>
              </w:rPr>
              <w:t xml:space="preserve"> </w:t>
            </w:r>
            <w:r w:rsidR="000E3057">
              <w:rPr>
                <w:sz w:val="28"/>
                <w:szCs w:val="28"/>
                <w:highlight w:val="white"/>
              </w:rPr>
              <w:t>листопада</w:t>
            </w:r>
            <w:r w:rsidR="00AE0F79">
              <w:rPr>
                <w:sz w:val="28"/>
                <w:szCs w:val="28"/>
                <w:highlight w:val="white"/>
              </w:rPr>
              <w:t xml:space="preserve"> 2021 року </w:t>
            </w:r>
            <w:r w:rsidR="00955880">
              <w:rPr>
                <w:sz w:val="28"/>
                <w:szCs w:val="28"/>
                <w:highlight w:val="white"/>
              </w:rPr>
              <w:t xml:space="preserve">о </w:t>
            </w:r>
            <w:r w:rsidR="000E3057">
              <w:rPr>
                <w:sz w:val="28"/>
                <w:szCs w:val="28"/>
                <w:highlight w:val="white"/>
              </w:rPr>
              <w:t>09</w:t>
            </w:r>
            <w:r w:rsidR="00AE0F79">
              <w:rPr>
                <w:sz w:val="28"/>
                <w:szCs w:val="28"/>
                <w:highlight w:val="white"/>
              </w:rPr>
              <w:t xml:space="preserve"> год. </w:t>
            </w:r>
            <w:r w:rsidR="000E3057">
              <w:rPr>
                <w:sz w:val="28"/>
                <w:szCs w:val="28"/>
                <w:highlight w:val="white"/>
              </w:rPr>
              <w:t>3</w:t>
            </w:r>
            <w:r>
              <w:rPr>
                <w:sz w:val="28"/>
                <w:szCs w:val="28"/>
                <w:highlight w:val="white"/>
              </w:rPr>
              <w:t>0</w:t>
            </w:r>
            <w:r w:rsidR="00AE0F79">
              <w:rPr>
                <w:sz w:val="28"/>
                <w:szCs w:val="28"/>
                <w:highlight w:val="white"/>
              </w:rPr>
              <w:t xml:space="preserve"> хв</w:t>
            </w:r>
            <w:r w:rsidR="00B11C32">
              <w:rPr>
                <w:sz w:val="28"/>
                <w:szCs w:val="28"/>
                <w:highlight w:val="white"/>
              </w:rPr>
              <w:t>.</w:t>
            </w:r>
          </w:p>
          <w:p w:rsidR="00B2129A" w:rsidRDefault="00B2129A">
            <w:pPr>
              <w:widowControl/>
              <w:ind w:left="1" w:hanging="3"/>
              <w:jc w:val="both"/>
              <w:rPr>
                <w:sz w:val="28"/>
                <w:szCs w:val="28"/>
                <w:highlight w:val="white"/>
              </w:rPr>
            </w:pPr>
          </w:p>
          <w:p w:rsidR="007E78BB" w:rsidRDefault="00AE0F79">
            <w:pPr>
              <w:widowControl/>
              <w:ind w:left="1" w:hanging="3"/>
              <w:jc w:val="both"/>
              <w:rPr>
                <w:sz w:val="28"/>
                <w:szCs w:val="28"/>
                <w:highlight w:val="white"/>
              </w:rPr>
            </w:pPr>
            <w:r>
              <w:rPr>
                <w:sz w:val="28"/>
                <w:szCs w:val="28"/>
                <w:highlight w:val="white"/>
              </w:rPr>
              <w:t xml:space="preserve">Проведення співбесіди дистанційно. Платформа </w:t>
            </w:r>
            <w:proofErr w:type="spellStart"/>
            <w:r>
              <w:rPr>
                <w:sz w:val="28"/>
                <w:szCs w:val="28"/>
                <w:highlight w:val="white"/>
              </w:rPr>
              <w:t>Cisco</w:t>
            </w:r>
            <w:proofErr w:type="spellEnd"/>
            <w:r>
              <w:rPr>
                <w:sz w:val="28"/>
                <w:szCs w:val="28"/>
                <w:highlight w:val="white"/>
              </w:rPr>
              <w:t xml:space="preserve"> </w:t>
            </w:r>
            <w:proofErr w:type="spellStart"/>
            <w:r>
              <w:rPr>
                <w:sz w:val="28"/>
                <w:szCs w:val="28"/>
                <w:highlight w:val="white"/>
              </w:rPr>
              <w:t>Webex</w:t>
            </w:r>
            <w:proofErr w:type="spellEnd"/>
            <w:r>
              <w:rPr>
                <w:sz w:val="28"/>
                <w:szCs w:val="28"/>
                <w:highlight w:val="white"/>
              </w:rPr>
              <w:t xml:space="preserve"> (про час та дату проведення співбесіди кандидатів буде повідомлено додатково)</w:t>
            </w:r>
          </w:p>
          <w:p w:rsidR="007E78BB" w:rsidRDefault="007E78BB">
            <w:pPr>
              <w:widowControl/>
              <w:ind w:left="1" w:hanging="3"/>
              <w:jc w:val="both"/>
              <w:rPr>
                <w:sz w:val="28"/>
                <w:szCs w:val="28"/>
              </w:rPr>
            </w:pPr>
          </w:p>
          <w:p w:rsidR="007E78BB" w:rsidRDefault="007E78BB">
            <w:pPr>
              <w:widowControl/>
              <w:ind w:left="1" w:hanging="3"/>
              <w:jc w:val="both"/>
              <w:rPr>
                <w:sz w:val="28"/>
                <w:szCs w:val="28"/>
              </w:rPr>
            </w:pPr>
          </w:p>
          <w:p w:rsidR="00B2129A" w:rsidRDefault="00B2129A">
            <w:pPr>
              <w:widowControl/>
              <w:ind w:left="1" w:hanging="3"/>
              <w:jc w:val="both"/>
              <w:rPr>
                <w:color w:val="auto"/>
                <w:position w:val="0"/>
                <w:sz w:val="28"/>
                <w:shd w:val="clear" w:color="auto" w:fill="FFFFFF"/>
              </w:rPr>
            </w:pPr>
          </w:p>
          <w:p w:rsidR="007E78BB" w:rsidRDefault="00B72402">
            <w:pPr>
              <w:widowControl/>
              <w:ind w:left="1" w:hanging="3"/>
              <w:jc w:val="both"/>
              <w:rPr>
                <w:sz w:val="28"/>
                <w:szCs w:val="28"/>
              </w:rPr>
            </w:pPr>
            <w:r w:rsidRPr="00B72402">
              <w:rPr>
                <w:color w:val="auto"/>
                <w:position w:val="0"/>
                <w:sz w:val="28"/>
                <w:shd w:val="clear" w:color="auto" w:fill="FFFFFF"/>
              </w:rPr>
              <w:t>м. Київ, вул. Грушевського, 12/2</w:t>
            </w:r>
            <w:r>
              <w:rPr>
                <w:sz w:val="28"/>
                <w:szCs w:val="28"/>
              </w:rPr>
              <w:t xml:space="preserve"> </w:t>
            </w:r>
            <w:r w:rsidR="00AE0F79">
              <w:rPr>
                <w:sz w:val="28"/>
                <w:szCs w:val="28"/>
              </w:rPr>
              <w:t xml:space="preserve">(про час та дату </w:t>
            </w:r>
            <w:r w:rsidR="00AE0F79">
              <w:rPr>
                <w:sz w:val="28"/>
                <w:szCs w:val="28"/>
                <w:highlight w:val="white"/>
              </w:rPr>
              <w:t xml:space="preserve">проведення співбесіди </w:t>
            </w:r>
            <w:r w:rsidR="00AE0F79">
              <w:rPr>
                <w:sz w:val="28"/>
                <w:szCs w:val="28"/>
              </w:rPr>
              <w:t>кандидатів буде повідомлено додатково)</w:t>
            </w:r>
          </w:p>
        </w:tc>
      </w:tr>
      <w:tr w:rsidR="007E78BB">
        <w:tc>
          <w:tcPr>
            <w:tcW w:w="5118" w:type="dxa"/>
            <w:gridSpan w:val="2"/>
            <w:tcBorders>
              <w:top w:val="single" w:sz="4" w:space="0" w:color="000000"/>
              <w:left w:val="single" w:sz="4" w:space="0" w:color="000000"/>
              <w:bottom w:val="single" w:sz="4" w:space="0" w:color="000000"/>
              <w:right w:val="single" w:sz="4" w:space="0" w:color="000000"/>
            </w:tcBorders>
            <w:vAlign w:val="center"/>
          </w:tcPr>
          <w:p w:rsidR="007E78BB" w:rsidRDefault="00AE0F79">
            <w:pPr>
              <w:widowControl/>
              <w:ind w:left="1" w:hanging="3"/>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05" w:type="dxa"/>
            <w:tcBorders>
              <w:top w:val="single" w:sz="4" w:space="0" w:color="000000"/>
              <w:left w:val="single" w:sz="4" w:space="0" w:color="000000"/>
              <w:bottom w:val="single" w:sz="4" w:space="0" w:color="000000"/>
              <w:right w:val="single" w:sz="4" w:space="0" w:color="000000"/>
            </w:tcBorders>
          </w:tcPr>
          <w:p w:rsidR="00B2129A" w:rsidRDefault="00B2129A" w:rsidP="00B2129A">
            <w:pPr>
              <w:widowControl/>
              <w:ind w:leftChars="0" w:left="3" w:hanging="3"/>
              <w:jc w:val="both"/>
              <w:rPr>
                <w:sz w:val="28"/>
                <w:szCs w:val="28"/>
              </w:rPr>
            </w:pPr>
            <w:proofErr w:type="spellStart"/>
            <w:r>
              <w:rPr>
                <w:sz w:val="28"/>
                <w:szCs w:val="28"/>
              </w:rPr>
              <w:t>Леваднюк</w:t>
            </w:r>
            <w:proofErr w:type="spellEnd"/>
            <w:r>
              <w:rPr>
                <w:sz w:val="28"/>
                <w:szCs w:val="28"/>
              </w:rPr>
              <w:t xml:space="preserve"> Ірина Василівна, (044) 200-47-52, ilevadnyuk@me.gov.ua;</w:t>
            </w:r>
          </w:p>
          <w:p w:rsidR="00B2129A" w:rsidRDefault="00B2129A" w:rsidP="00B2129A">
            <w:pPr>
              <w:widowControl/>
              <w:ind w:leftChars="0" w:left="3" w:hanging="3"/>
              <w:jc w:val="both"/>
              <w:rPr>
                <w:sz w:val="28"/>
                <w:szCs w:val="28"/>
              </w:rPr>
            </w:pPr>
            <w:r>
              <w:rPr>
                <w:sz w:val="28"/>
                <w:szCs w:val="28"/>
              </w:rPr>
              <w:t>Кашуба Наталія Анатоліївна, (044) 200-47-52, nkashuba@me.gov.ua</w:t>
            </w:r>
          </w:p>
          <w:p w:rsidR="007E78BB" w:rsidRDefault="007E78BB" w:rsidP="00792EF3">
            <w:pPr>
              <w:widowControl/>
              <w:ind w:left="1" w:hanging="3"/>
              <w:jc w:val="both"/>
              <w:rPr>
                <w:sz w:val="28"/>
                <w:szCs w:val="28"/>
              </w:rPr>
            </w:pPr>
          </w:p>
        </w:tc>
      </w:tr>
      <w:tr w:rsidR="007E78BB">
        <w:tc>
          <w:tcPr>
            <w:tcW w:w="15323" w:type="dxa"/>
            <w:gridSpan w:val="3"/>
          </w:tcPr>
          <w:p w:rsidR="007E78BB" w:rsidRDefault="00AE0F79">
            <w:pPr>
              <w:widowControl/>
              <w:ind w:left="1" w:hanging="3"/>
              <w:jc w:val="center"/>
              <w:rPr>
                <w:sz w:val="28"/>
                <w:szCs w:val="28"/>
              </w:rPr>
            </w:pPr>
            <w:r>
              <w:rPr>
                <w:sz w:val="28"/>
                <w:szCs w:val="28"/>
              </w:rPr>
              <w:t>Кваліфікаційні вимоги</w:t>
            </w:r>
          </w:p>
        </w:tc>
      </w:tr>
      <w:tr w:rsidR="007E78BB">
        <w:trPr>
          <w:trHeight w:val="452"/>
        </w:trPr>
        <w:tc>
          <w:tcPr>
            <w:tcW w:w="936"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1.</w:t>
            </w:r>
          </w:p>
        </w:tc>
        <w:tc>
          <w:tcPr>
            <w:tcW w:w="4182"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Освіта</w:t>
            </w:r>
          </w:p>
        </w:tc>
        <w:tc>
          <w:tcPr>
            <w:tcW w:w="10205"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ступінь вищої освіти не нижче магістра</w:t>
            </w:r>
          </w:p>
        </w:tc>
      </w:tr>
      <w:tr w:rsidR="007E78BB">
        <w:trPr>
          <w:trHeight w:val="1381"/>
        </w:trPr>
        <w:tc>
          <w:tcPr>
            <w:tcW w:w="936"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4"/>
                <w:szCs w:val="24"/>
              </w:rPr>
            </w:pPr>
            <w:r>
              <w:rPr>
                <w:sz w:val="28"/>
                <w:szCs w:val="28"/>
              </w:rPr>
              <w:t>2.</w:t>
            </w:r>
          </w:p>
        </w:tc>
        <w:tc>
          <w:tcPr>
            <w:tcW w:w="4182"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right="268" w:hanging="3"/>
              <w:rPr>
                <w:sz w:val="28"/>
                <w:szCs w:val="28"/>
              </w:rPr>
            </w:pPr>
            <w:r>
              <w:rPr>
                <w:sz w:val="28"/>
                <w:szCs w:val="28"/>
              </w:rPr>
              <w:t>Досвід роботи</w:t>
            </w:r>
          </w:p>
        </w:tc>
        <w:tc>
          <w:tcPr>
            <w:tcW w:w="10205"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jc w:val="both"/>
              <w:rPr>
                <w:sz w:val="28"/>
                <w:szCs w:val="28"/>
              </w:rPr>
            </w:pPr>
            <w:r>
              <w:rPr>
                <w:sz w:val="28"/>
                <w:szCs w:val="28"/>
              </w:rPr>
              <w:t xml:space="preserve">досвід роботи на посадах державної служби </w:t>
            </w:r>
            <w:hyperlink r:id="rId7" w:anchor="n86">
              <w:r>
                <w:rPr>
                  <w:sz w:val="28"/>
                  <w:szCs w:val="28"/>
                  <w:u w:val="single"/>
                </w:rPr>
                <w:t>категорій “Б</w:t>
              </w:r>
            </w:hyperlink>
            <w:r>
              <w:rPr>
                <w:sz w:val="28"/>
                <w:szCs w:val="28"/>
                <w:u w:val="single"/>
              </w:rPr>
              <w:t>”</w:t>
            </w:r>
            <w:r>
              <w:rPr>
                <w:sz w:val="28"/>
                <w:szCs w:val="28"/>
              </w:rPr>
              <w:t xml:space="preserve"> чи </w:t>
            </w:r>
            <w:hyperlink r:id="rId8" w:anchor="n92">
              <w:r>
                <w:rPr>
                  <w:sz w:val="28"/>
                  <w:szCs w:val="28"/>
                  <w:u w:val="single"/>
                </w:rPr>
                <w:t>“В</w:t>
              </w:r>
            </w:hyperlink>
            <w:r>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E78BB">
        <w:tc>
          <w:tcPr>
            <w:tcW w:w="936"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3.</w:t>
            </w:r>
          </w:p>
        </w:tc>
        <w:tc>
          <w:tcPr>
            <w:tcW w:w="4182"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Володіння державною мовою</w:t>
            </w:r>
          </w:p>
        </w:tc>
        <w:tc>
          <w:tcPr>
            <w:tcW w:w="10205" w:type="dxa"/>
            <w:tcBorders>
              <w:top w:val="single" w:sz="4" w:space="0" w:color="000000"/>
              <w:left w:val="single" w:sz="4" w:space="0" w:color="000000"/>
              <w:bottom w:val="single" w:sz="4" w:space="0" w:color="000000"/>
              <w:right w:val="single" w:sz="4" w:space="0" w:color="000000"/>
            </w:tcBorders>
          </w:tcPr>
          <w:p w:rsidR="007E78BB" w:rsidRDefault="00AE0F79">
            <w:pPr>
              <w:widowControl/>
              <w:ind w:left="1" w:hanging="3"/>
              <w:rPr>
                <w:sz w:val="28"/>
                <w:szCs w:val="28"/>
              </w:rPr>
            </w:pPr>
            <w:r>
              <w:rPr>
                <w:sz w:val="28"/>
                <w:szCs w:val="28"/>
              </w:rPr>
              <w:t>вільне володіння державною мовою</w:t>
            </w:r>
          </w:p>
        </w:tc>
      </w:tr>
      <w:tr w:rsidR="007E78BB">
        <w:tc>
          <w:tcPr>
            <w:tcW w:w="15323" w:type="dxa"/>
            <w:gridSpan w:val="3"/>
          </w:tcPr>
          <w:p w:rsidR="007E78BB" w:rsidRDefault="00AE0F79">
            <w:pPr>
              <w:widowControl/>
              <w:ind w:left="1" w:hanging="3"/>
              <w:jc w:val="center"/>
              <w:rPr>
                <w:sz w:val="28"/>
                <w:szCs w:val="28"/>
              </w:rPr>
            </w:pPr>
            <w:r>
              <w:rPr>
                <w:sz w:val="28"/>
                <w:szCs w:val="28"/>
              </w:rPr>
              <w:t>Вимоги до компетентності</w:t>
            </w:r>
          </w:p>
        </w:tc>
      </w:tr>
      <w:tr w:rsidR="007E78BB">
        <w:trPr>
          <w:trHeight w:val="242"/>
        </w:trPr>
        <w:tc>
          <w:tcPr>
            <w:tcW w:w="5118" w:type="dxa"/>
            <w:gridSpan w:val="2"/>
            <w:tcBorders>
              <w:top w:val="single" w:sz="4" w:space="0" w:color="000000"/>
              <w:left w:val="single" w:sz="4" w:space="0" w:color="000000"/>
              <w:bottom w:val="single" w:sz="4" w:space="0" w:color="000000"/>
              <w:right w:val="single" w:sz="6" w:space="0" w:color="000000"/>
            </w:tcBorders>
          </w:tcPr>
          <w:p w:rsidR="007E78BB" w:rsidRDefault="00AE0F79">
            <w:pPr>
              <w:widowControl/>
              <w:ind w:left="1" w:hanging="3"/>
              <w:jc w:val="center"/>
              <w:rPr>
                <w:sz w:val="28"/>
                <w:szCs w:val="28"/>
              </w:rPr>
            </w:pPr>
            <w:r>
              <w:rPr>
                <w:sz w:val="28"/>
                <w:szCs w:val="28"/>
              </w:rPr>
              <w:t>Вимога</w:t>
            </w:r>
          </w:p>
        </w:tc>
        <w:tc>
          <w:tcPr>
            <w:tcW w:w="10205" w:type="dxa"/>
            <w:tcBorders>
              <w:top w:val="single" w:sz="6" w:space="0" w:color="000000"/>
              <w:left w:val="single" w:sz="6" w:space="0" w:color="000000"/>
              <w:bottom w:val="single" w:sz="6" w:space="0" w:color="000000"/>
              <w:right w:val="single" w:sz="6" w:space="0" w:color="000000"/>
            </w:tcBorders>
          </w:tcPr>
          <w:p w:rsidR="007E78BB" w:rsidRDefault="00AE0F79">
            <w:pPr>
              <w:widowControl/>
              <w:ind w:left="1" w:hanging="3"/>
              <w:jc w:val="center"/>
              <w:rPr>
                <w:sz w:val="28"/>
                <w:szCs w:val="28"/>
              </w:rPr>
            </w:pPr>
            <w:r>
              <w:rPr>
                <w:sz w:val="28"/>
                <w:szCs w:val="28"/>
              </w:rPr>
              <w:t>Компоненти вимоги</w:t>
            </w:r>
          </w:p>
        </w:tc>
      </w:tr>
      <w:tr w:rsidR="001F3FD2" w:rsidTr="00A715BF">
        <w:trPr>
          <w:trHeight w:val="536"/>
        </w:trPr>
        <w:tc>
          <w:tcPr>
            <w:tcW w:w="936" w:type="dxa"/>
          </w:tcPr>
          <w:p w:rsidR="001F3FD2" w:rsidRPr="00B2129A" w:rsidRDefault="001F3FD2" w:rsidP="001F3FD2">
            <w:pPr>
              <w:pStyle w:val="a7"/>
              <w:widowControl/>
              <w:numPr>
                <w:ilvl w:val="0"/>
                <w:numId w:val="4"/>
              </w:numPr>
              <w:ind w:leftChars="0" w:firstLineChars="0"/>
              <w:jc w:val="left"/>
              <w:rPr>
                <w:szCs w:val="28"/>
              </w:rPr>
            </w:pPr>
          </w:p>
        </w:tc>
        <w:tc>
          <w:tcPr>
            <w:tcW w:w="4182"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Концептуальне та інноваційне мислення</w:t>
            </w:r>
          </w:p>
        </w:tc>
        <w:tc>
          <w:tcPr>
            <w:tcW w:w="10205"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 здатність сприймати інформацію та мислити концептуально;</w:t>
            </w:r>
            <w:r w:rsidRPr="001F3FD2">
              <w:rPr>
                <w:sz w:val="28"/>
                <w:szCs w:val="28"/>
              </w:rPr>
              <w:br/>
              <w:t>- здатність формувати закінчені (оформлені) пропозиції;</w:t>
            </w:r>
            <w:r w:rsidRPr="001F3FD2">
              <w:rPr>
                <w:sz w:val="28"/>
                <w:szCs w:val="28"/>
              </w:rPr>
              <w:br/>
              <w:t>- здатність формувати нові/інноваційні ідеї та підходи;</w:t>
            </w:r>
            <w:r w:rsidRPr="001F3FD2">
              <w:rPr>
                <w:sz w:val="28"/>
                <w:szCs w:val="28"/>
              </w:rPr>
              <w:br/>
            </w:r>
            <w:r w:rsidRPr="001F3FD2">
              <w:rPr>
                <w:sz w:val="28"/>
                <w:szCs w:val="28"/>
              </w:rPr>
              <w:lastRenderedPageBreak/>
              <w:t>- здатність здійснювати гендерний аналіз в процесі підготовки (оформлення) пропоз</w:t>
            </w:r>
            <w:bookmarkStart w:id="2" w:name="_GoBack"/>
            <w:bookmarkEnd w:id="2"/>
            <w:r w:rsidRPr="001F3FD2">
              <w:rPr>
                <w:sz w:val="28"/>
                <w:szCs w:val="28"/>
              </w:rPr>
              <w:t>ицій та рішень</w:t>
            </w:r>
          </w:p>
        </w:tc>
      </w:tr>
      <w:tr w:rsidR="001F3FD2" w:rsidTr="00C26751">
        <w:trPr>
          <w:trHeight w:val="380"/>
        </w:trPr>
        <w:tc>
          <w:tcPr>
            <w:tcW w:w="936" w:type="dxa"/>
          </w:tcPr>
          <w:p w:rsidR="001F3FD2" w:rsidRPr="00B2129A" w:rsidRDefault="001F3FD2" w:rsidP="001F3FD2">
            <w:pPr>
              <w:pStyle w:val="a7"/>
              <w:widowControl/>
              <w:numPr>
                <w:ilvl w:val="0"/>
                <w:numId w:val="4"/>
              </w:numPr>
              <w:ind w:leftChars="0" w:firstLineChars="0"/>
              <w:jc w:val="left"/>
              <w:rPr>
                <w:szCs w:val="28"/>
              </w:rPr>
            </w:pPr>
          </w:p>
        </w:tc>
        <w:tc>
          <w:tcPr>
            <w:tcW w:w="4182"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Управління організацією роботи</w:t>
            </w:r>
          </w:p>
        </w:tc>
        <w:tc>
          <w:tcPr>
            <w:tcW w:w="10205"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 чітке бачення цілі;</w:t>
            </w:r>
            <w:r w:rsidRPr="001F3FD2">
              <w:rPr>
                <w:sz w:val="28"/>
                <w:szCs w:val="28"/>
              </w:rPr>
              <w:br/>
              <w:t>- ефективне управління ресурсами;</w:t>
            </w:r>
            <w:r w:rsidRPr="001F3FD2">
              <w:rPr>
                <w:sz w:val="28"/>
                <w:szCs w:val="28"/>
              </w:rPr>
              <w:br/>
              <w:t>- чітке планування реалізації;</w:t>
            </w:r>
            <w:r w:rsidRPr="001F3FD2">
              <w:rPr>
                <w:sz w:val="28"/>
                <w:szCs w:val="28"/>
              </w:rPr>
              <w:br/>
              <w:t>- ефективне формування та управління процесами</w:t>
            </w:r>
          </w:p>
        </w:tc>
      </w:tr>
      <w:tr w:rsidR="001F3FD2" w:rsidTr="00C26751">
        <w:trPr>
          <w:trHeight w:val="684"/>
        </w:trPr>
        <w:tc>
          <w:tcPr>
            <w:tcW w:w="936" w:type="dxa"/>
          </w:tcPr>
          <w:p w:rsidR="001F3FD2" w:rsidRPr="00B2129A" w:rsidRDefault="001F3FD2" w:rsidP="001F3FD2">
            <w:pPr>
              <w:pStyle w:val="a7"/>
              <w:widowControl/>
              <w:numPr>
                <w:ilvl w:val="0"/>
                <w:numId w:val="4"/>
              </w:numPr>
              <w:ind w:leftChars="0" w:firstLineChars="0"/>
              <w:jc w:val="left"/>
              <w:rPr>
                <w:szCs w:val="28"/>
              </w:rPr>
            </w:pPr>
          </w:p>
        </w:tc>
        <w:tc>
          <w:tcPr>
            <w:tcW w:w="4182"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Управління персоналом</w:t>
            </w:r>
          </w:p>
        </w:tc>
        <w:tc>
          <w:tcPr>
            <w:tcW w:w="10205"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 делегування та управління результатами;</w:t>
            </w:r>
            <w:r w:rsidRPr="001F3FD2">
              <w:rPr>
                <w:sz w:val="28"/>
                <w:szCs w:val="28"/>
              </w:rPr>
              <w:br/>
              <w:t>- управління мотивацією;</w:t>
            </w:r>
            <w:r w:rsidRPr="001F3FD2">
              <w:rPr>
                <w:sz w:val="28"/>
                <w:szCs w:val="28"/>
              </w:rPr>
              <w:br/>
              <w:t>- наставництво та розвиток талантів;</w:t>
            </w:r>
            <w:r w:rsidRPr="001F3FD2">
              <w:rPr>
                <w:sz w:val="28"/>
                <w:szCs w:val="28"/>
              </w:rPr>
              <w:br/>
              <w:t>- стимулювання командної роботи та співробітництва</w:t>
            </w:r>
          </w:p>
        </w:tc>
      </w:tr>
      <w:tr w:rsidR="001F3FD2" w:rsidTr="00C26751">
        <w:trPr>
          <w:trHeight w:val="684"/>
        </w:trPr>
        <w:tc>
          <w:tcPr>
            <w:tcW w:w="936" w:type="dxa"/>
          </w:tcPr>
          <w:p w:rsidR="001F3FD2" w:rsidRPr="00B2129A" w:rsidRDefault="001F3FD2" w:rsidP="001F3FD2">
            <w:pPr>
              <w:pStyle w:val="a7"/>
              <w:widowControl/>
              <w:numPr>
                <w:ilvl w:val="0"/>
                <w:numId w:val="4"/>
              </w:numPr>
              <w:ind w:leftChars="0" w:firstLineChars="0"/>
              <w:jc w:val="left"/>
              <w:rPr>
                <w:szCs w:val="28"/>
              </w:rPr>
            </w:pPr>
          </w:p>
        </w:tc>
        <w:tc>
          <w:tcPr>
            <w:tcW w:w="4182"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Комунікація та взаємодія</w:t>
            </w:r>
          </w:p>
        </w:tc>
        <w:tc>
          <w:tcPr>
            <w:tcW w:w="10205"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 вміння дослухатися до думки;</w:t>
            </w:r>
            <w:r w:rsidRPr="001F3FD2">
              <w:rPr>
                <w:sz w:val="28"/>
                <w:szCs w:val="28"/>
              </w:rPr>
              <w:br/>
              <w:t>- вміння викладати свою думку, чітко висловлюватися (усно та письмово), переконувати;</w:t>
            </w:r>
            <w:r w:rsidRPr="001F3FD2">
              <w:rPr>
                <w:sz w:val="28"/>
                <w:szCs w:val="28"/>
              </w:rPr>
              <w:br/>
              <w:t>- вміння виступати перед аудиторією</w:t>
            </w:r>
          </w:p>
        </w:tc>
      </w:tr>
      <w:tr w:rsidR="001F3FD2" w:rsidTr="00C26751">
        <w:trPr>
          <w:trHeight w:val="684"/>
        </w:trPr>
        <w:tc>
          <w:tcPr>
            <w:tcW w:w="936" w:type="dxa"/>
          </w:tcPr>
          <w:p w:rsidR="001F3FD2" w:rsidRPr="00B2129A" w:rsidRDefault="001F3FD2" w:rsidP="001F3FD2">
            <w:pPr>
              <w:pStyle w:val="a7"/>
              <w:widowControl/>
              <w:numPr>
                <w:ilvl w:val="0"/>
                <w:numId w:val="4"/>
              </w:numPr>
              <w:ind w:leftChars="0" w:firstLineChars="0"/>
              <w:jc w:val="left"/>
              <w:rPr>
                <w:szCs w:val="28"/>
              </w:rPr>
            </w:pPr>
          </w:p>
        </w:tc>
        <w:tc>
          <w:tcPr>
            <w:tcW w:w="4182" w:type="dxa"/>
            <w:shd w:val="clear" w:color="auto" w:fill="auto"/>
          </w:tcPr>
          <w:p w:rsidR="001F3FD2" w:rsidRPr="001F3FD2" w:rsidRDefault="001F3FD2" w:rsidP="001F3FD2">
            <w:pPr>
              <w:widowControl/>
              <w:ind w:left="1" w:hanging="3"/>
              <w:textDirection w:val="lrTb"/>
              <w:rPr>
                <w:sz w:val="28"/>
                <w:szCs w:val="28"/>
              </w:rPr>
            </w:pPr>
            <w:proofErr w:type="spellStart"/>
            <w:r w:rsidRPr="001F3FD2">
              <w:rPr>
                <w:sz w:val="28"/>
                <w:szCs w:val="28"/>
              </w:rPr>
              <w:t>Стресостійкість</w:t>
            </w:r>
            <w:proofErr w:type="spellEnd"/>
          </w:p>
        </w:tc>
        <w:tc>
          <w:tcPr>
            <w:tcW w:w="10205" w:type="dxa"/>
            <w:shd w:val="clear" w:color="auto" w:fill="auto"/>
          </w:tcPr>
          <w:p w:rsidR="001F3FD2" w:rsidRPr="001F3FD2" w:rsidRDefault="001F3FD2" w:rsidP="001F3FD2">
            <w:pPr>
              <w:widowControl/>
              <w:ind w:left="1" w:hanging="3"/>
              <w:textDirection w:val="lrTb"/>
              <w:rPr>
                <w:sz w:val="28"/>
                <w:szCs w:val="28"/>
              </w:rPr>
            </w:pPr>
            <w:r w:rsidRPr="001F3FD2">
              <w:rPr>
                <w:sz w:val="28"/>
                <w:szCs w:val="28"/>
              </w:rPr>
              <w:t>- розуміння своїх емоцій;</w:t>
            </w:r>
            <w:r w:rsidRPr="001F3FD2">
              <w:rPr>
                <w:sz w:val="28"/>
                <w:szCs w:val="28"/>
              </w:rPr>
              <w:br/>
              <w:t>- управління своїми емоціями;</w:t>
            </w:r>
            <w:r w:rsidRPr="001F3FD2">
              <w:rPr>
                <w:sz w:val="28"/>
                <w:szCs w:val="28"/>
              </w:rPr>
              <w:br/>
              <w:t>- оптимізм</w:t>
            </w:r>
          </w:p>
        </w:tc>
      </w:tr>
      <w:tr w:rsidR="00686C1F" w:rsidTr="00C26751">
        <w:trPr>
          <w:trHeight w:val="684"/>
        </w:trPr>
        <w:tc>
          <w:tcPr>
            <w:tcW w:w="936" w:type="dxa"/>
          </w:tcPr>
          <w:p w:rsidR="00686C1F" w:rsidRPr="00B2129A" w:rsidRDefault="00686C1F" w:rsidP="00B2129A">
            <w:pPr>
              <w:pStyle w:val="a7"/>
              <w:widowControl/>
              <w:numPr>
                <w:ilvl w:val="0"/>
                <w:numId w:val="4"/>
              </w:numPr>
              <w:ind w:leftChars="0" w:firstLineChars="0"/>
              <w:jc w:val="left"/>
              <w:rPr>
                <w:szCs w:val="28"/>
              </w:rPr>
            </w:pPr>
          </w:p>
        </w:tc>
        <w:tc>
          <w:tcPr>
            <w:tcW w:w="4182" w:type="dxa"/>
            <w:shd w:val="clear" w:color="auto" w:fill="auto"/>
          </w:tcPr>
          <w:p w:rsidR="00686C1F" w:rsidRPr="00B2129A" w:rsidRDefault="00686C1F" w:rsidP="00B2129A">
            <w:pPr>
              <w:widowControl/>
              <w:ind w:left="1" w:hanging="3"/>
              <w:rPr>
                <w:sz w:val="28"/>
                <w:szCs w:val="28"/>
              </w:rPr>
            </w:pPr>
            <w:r w:rsidRPr="00B2129A">
              <w:rPr>
                <w:sz w:val="28"/>
                <w:szCs w:val="28"/>
              </w:rPr>
              <w:t>Абстрактне мислення</w:t>
            </w:r>
          </w:p>
        </w:tc>
        <w:tc>
          <w:tcPr>
            <w:tcW w:w="10205" w:type="dxa"/>
            <w:shd w:val="clear" w:color="auto" w:fill="auto"/>
          </w:tcPr>
          <w:p w:rsidR="00686C1F" w:rsidRPr="00B2129A" w:rsidRDefault="00686C1F" w:rsidP="00B2129A">
            <w:pPr>
              <w:widowControl/>
              <w:ind w:left="1" w:hanging="3"/>
              <w:rPr>
                <w:sz w:val="28"/>
                <w:szCs w:val="28"/>
              </w:rPr>
            </w:pPr>
            <w:r w:rsidRPr="00B2129A">
              <w:rPr>
                <w:sz w:val="28"/>
                <w:szCs w:val="28"/>
              </w:rPr>
              <w:t>- здатність до логічного мислення;</w:t>
            </w:r>
            <w:r w:rsidRPr="00B2129A">
              <w:rPr>
                <w:sz w:val="28"/>
                <w:szCs w:val="28"/>
              </w:rPr>
              <w:br/>
              <w:t>- вміння встановлювати причинно-наслідкові зв’язки</w:t>
            </w:r>
          </w:p>
        </w:tc>
      </w:tr>
      <w:tr w:rsidR="00686C1F" w:rsidTr="001F3FD2">
        <w:trPr>
          <w:trHeight w:val="569"/>
        </w:trPr>
        <w:tc>
          <w:tcPr>
            <w:tcW w:w="936" w:type="dxa"/>
          </w:tcPr>
          <w:p w:rsidR="00686C1F" w:rsidRPr="00B2129A" w:rsidRDefault="00686C1F" w:rsidP="00B2129A">
            <w:pPr>
              <w:pStyle w:val="a7"/>
              <w:widowControl/>
              <w:numPr>
                <w:ilvl w:val="0"/>
                <w:numId w:val="4"/>
              </w:numPr>
              <w:ind w:leftChars="0" w:firstLineChars="0"/>
              <w:jc w:val="left"/>
              <w:rPr>
                <w:szCs w:val="28"/>
              </w:rPr>
            </w:pPr>
          </w:p>
        </w:tc>
        <w:tc>
          <w:tcPr>
            <w:tcW w:w="4182" w:type="dxa"/>
            <w:shd w:val="clear" w:color="auto" w:fill="auto"/>
          </w:tcPr>
          <w:p w:rsidR="00686C1F" w:rsidRPr="00B2129A" w:rsidRDefault="00686C1F" w:rsidP="00B2129A">
            <w:pPr>
              <w:widowControl/>
              <w:ind w:left="1" w:hanging="3"/>
              <w:rPr>
                <w:sz w:val="28"/>
                <w:szCs w:val="28"/>
              </w:rPr>
            </w:pPr>
            <w:r w:rsidRPr="00B2129A">
              <w:rPr>
                <w:sz w:val="28"/>
                <w:szCs w:val="28"/>
              </w:rPr>
              <w:t>Вербальне мислення</w:t>
            </w:r>
          </w:p>
        </w:tc>
        <w:tc>
          <w:tcPr>
            <w:tcW w:w="10205" w:type="dxa"/>
            <w:shd w:val="clear" w:color="auto" w:fill="auto"/>
          </w:tcPr>
          <w:p w:rsidR="00B2129A" w:rsidRPr="00B2129A" w:rsidRDefault="00686C1F" w:rsidP="00955880">
            <w:pPr>
              <w:widowControl/>
              <w:ind w:left="1" w:hanging="3"/>
              <w:rPr>
                <w:sz w:val="28"/>
                <w:szCs w:val="28"/>
              </w:rPr>
            </w:pPr>
            <w:r w:rsidRPr="00B2129A">
              <w:rPr>
                <w:sz w:val="28"/>
                <w:szCs w:val="28"/>
              </w:rPr>
              <w:t>- здатність розуміти та працювати з текстовою інформацією</w:t>
            </w:r>
          </w:p>
        </w:tc>
      </w:tr>
      <w:tr w:rsidR="00686C1F">
        <w:tc>
          <w:tcPr>
            <w:tcW w:w="15323" w:type="dxa"/>
            <w:gridSpan w:val="3"/>
            <w:vAlign w:val="center"/>
          </w:tcPr>
          <w:p w:rsidR="00686C1F" w:rsidRDefault="00686C1F" w:rsidP="00686C1F">
            <w:pPr>
              <w:widowControl/>
              <w:ind w:leftChars="0" w:left="0" w:firstLineChars="0" w:firstLine="0"/>
              <w:jc w:val="center"/>
              <w:rPr>
                <w:sz w:val="28"/>
                <w:szCs w:val="28"/>
              </w:rPr>
            </w:pPr>
            <w:r>
              <w:rPr>
                <w:sz w:val="28"/>
                <w:szCs w:val="28"/>
              </w:rPr>
              <w:t>Професійні знання</w:t>
            </w:r>
          </w:p>
        </w:tc>
      </w:tr>
      <w:tr w:rsidR="00686C1F">
        <w:trPr>
          <w:trHeight w:val="675"/>
        </w:trPr>
        <w:tc>
          <w:tcPr>
            <w:tcW w:w="5118" w:type="dxa"/>
            <w:gridSpan w:val="2"/>
            <w:tcBorders>
              <w:top w:val="single" w:sz="4" w:space="0" w:color="000000"/>
              <w:left w:val="single" w:sz="4" w:space="0" w:color="000000"/>
              <w:bottom w:val="single" w:sz="4" w:space="0" w:color="000000"/>
              <w:right w:val="single" w:sz="6" w:space="0" w:color="000000"/>
            </w:tcBorders>
          </w:tcPr>
          <w:p w:rsidR="00686C1F" w:rsidRDefault="00686C1F" w:rsidP="00686C1F">
            <w:pPr>
              <w:widowControl/>
              <w:ind w:left="1" w:hanging="3"/>
              <w:jc w:val="center"/>
              <w:rPr>
                <w:sz w:val="28"/>
                <w:szCs w:val="28"/>
              </w:rPr>
            </w:pPr>
            <w:r>
              <w:rPr>
                <w:sz w:val="28"/>
                <w:szCs w:val="28"/>
              </w:rPr>
              <w:t>Вимога</w:t>
            </w:r>
          </w:p>
        </w:tc>
        <w:tc>
          <w:tcPr>
            <w:tcW w:w="10205" w:type="dxa"/>
            <w:tcBorders>
              <w:top w:val="single" w:sz="6" w:space="0" w:color="000000"/>
              <w:left w:val="single" w:sz="6" w:space="0" w:color="000000"/>
              <w:bottom w:val="single" w:sz="6" w:space="0" w:color="000000"/>
              <w:right w:val="single" w:sz="6" w:space="0" w:color="000000"/>
            </w:tcBorders>
          </w:tcPr>
          <w:p w:rsidR="00686C1F" w:rsidRDefault="00686C1F" w:rsidP="00686C1F">
            <w:pPr>
              <w:widowControl/>
              <w:ind w:left="1" w:hanging="3"/>
              <w:jc w:val="center"/>
              <w:rPr>
                <w:sz w:val="28"/>
                <w:szCs w:val="28"/>
              </w:rPr>
            </w:pPr>
            <w:r>
              <w:rPr>
                <w:sz w:val="28"/>
                <w:szCs w:val="28"/>
              </w:rPr>
              <w:t>Компоненти вимоги</w:t>
            </w:r>
          </w:p>
        </w:tc>
      </w:tr>
      <w:tr w:rsidR="00686C1F">
        <w:trPr>
          <w:trHeight w:val="999"/>
        </w:trPr>
        <w:tc>
          <w:tcPr>
            <w:tcW w:w="936" w:type="dxa"/>
          </w:tcPr>
          <w:p w:rsidR="00686C1F" w:rsidRDefault="00686C1F" w:rsidP="00686C1F">
            <w:pPr>
              <w:widowControl/>
              <w:pBdr>
                <w:top w:val="nil"/>
                <w:left w:val="nil"/>
                <w:bottom w:val="nil"/>
                <w:right w:val="nil"/>
                <w:between w:val="nil"/>
              </w:pBdr>
              <w:spacing w:line="240" w:lineRule="auto"/>
              <w:ind w:left="1" w:hanging="3"/>
              <w:rPr>
                <w:sz w:val="28"/>
                <w:szCs w:val="28"/>
              </w:rPr>
            </w:pPr>
            <w:r>
              <w:rPr>
                <w:sz w:val="28"/>
                <w:szCs w:val="28"/>
              </w:rPr>
              <w:t>1.</w:t>
            </w:r>
          </w:p>
        </w:tc>
        <w:tc>
          <w:tcPr>
            <w:tcW w:w="4182" w:type="dxa"/>
          </w:tcPr>
          <w:p w:rsidR="00686C1F" w:rsidRDefault="00686C1F" w:rsidP="00686C1F">
            <w:pPr>
              <w:widowControl/>
              <w:pBdr>
                <w:top w:val="nil"/>
                <w:left w:val="nil"/>
                <w:bottom w:val="nil"/>
                <w:right w:val="nil"/>
                <w:between w:val="nil"/>
              </w:pBdr>
              <w:spacing w:line="240" w:lineRule="auto"/>
              <w:ind w:left="1" w:hanging="3"/>
              <w:rPr>
                <w:sz w:val="28"/>
                <w:szCs w:val="28"/>
              </w:rPr>
            </w:pPr>
            <w:r>
              <w:rPr>
                <w:sz w:val="28"/>
                <w:szCs w:val="28"/>
              </w:rPr>
              <w:t>Знання законодавства</w:t>
            </w:r>
          </w:p>
        </w:tc>
        <w:tc>
          <w:tcPr>
            <w:tcW w:w="10205" w:type="dxa"/>
          </w:tcPr>
          <w:p w:rsidR="00686C1F" w:rsidRDefault="00686C1F" w:rsidP="00686C1F">
            <w:pPr>
              <w:pBdr>
                <w:top w:val="nil"/>
                <w:left w:val="nil"/>
                <w:bottom w:val="nil"/>
                <w:right w:val="nil"/>
                <w:between w:val="nil"/>
              </w:pBdr>
              <w:spacing w:line="240" w:lineRule="auto"/>
              <w:ind w:left="1" w:hanging="3"/>
              <w:rPr>
                <w:sz w:val="28"/>
                <w:szCs w:val="28"/>
              </w:rPr>
            </w:pPr>
            <w:r>
              <w:rPr>
                <w:sz w:val="28"/>
                <w:szCs w:val="28"/>
              </w:rPr>
              <w:t>Знання:</w:t>
            </w:r>
          </w:p>
          <w:p w:rsidR="00686C1F" w:rsidRDefault="00686C1F" w:rsidP="00686C1F">
            <w:pPr>
              <w:pBdr>
                <w:top w:val="nil"/>
                <w:left w:val="nil"/>
                <w:bottom w:val="nil"/>
                <w:right w:val="nil"/>
                <w:between w:val="nil"/>
              </w:pBdr>
              <w:spacing w:line="240" w:lineRule="auto"/>
              <w:ind w:left="1" w:hanging="3"/>
              <w:rPr>
                <w:sz w:val="28"/>
                <w:szCs w:val="28"/>
              </w:rPr>
            </w:pPr>
            <w:r>
              <w:rPr>
                <w:sz w:val="28"/>
                <w:szCs w:val="28"/>
              </w:rPr>
              <w:t>Конституції України;</w:t>
            </w:r>
          </w:p>
          <w:p w:rsidR="00686C1F" w:rsidRDefault="00686C1F" w:rsidP="00686C1F">
            <w:pPr>
              <w:pBdr>
                <w:top w:val="nil"/>
                <w:left w:val="nil"/>
                <w:bottom w:val="nil"/>
                <w:right w:val="nil"/>
                <w:between w:val="nil"/>
              </w:pBdr>
              <w:spacing w:line="240" w:lineRule="auto"/>
              <w:ind w:left="1" w:hanging="3"/>
              <w:rPr>
                <w:sz w:val="28"/>
                <w:szCs w:val="28"/>
              </w:rPr>
            </w:pPr>
            <w:r>
              <w:rPr>
                <w:sz w:val="28"/>
                <w:szCs w:val="28"/>
              </w:rPr>
              <w:t>Закону України «Про державну службу»;</w:t>
            </w:r>
          </w:p>
          <w:p w:rsidR="00686C1F" w:rsidRDefault="00686C1F" w:rsidP="00686C1F">
            <w:pPr>
              <w:widowControl/>
              <w:pBdr>
                <w:top w:val="nil"/>
                <w:left w:val="nil"/>
                <w:bottom w:val="nil"/>
                <w:right w:val="nil"/>
                <w:between w:val="nil"/>
              </w:pBdr>
              <w:spacing w:line="240" w:lineRule="auto"/>
              <w:ind w:left="1" w:hanging="3"/>
              <w:rPr>
                <w:sz w:val="28"/>
                <w:szCs w:val="28"/>
              </w:rPr>
            </w:pPr>
            <w:r>
              <w:rPr>
                <w:sz w:val="28"/>
                <w:szCs w:val="28"/>
              </w:rPr>
              <w:t>Закону України «Про запобігання корупції» та іншого законодавства</w:t>
            </w:r>
          </w:p>
        </w:tc>
      </w:tr>
      <w:tr w:rsidR="00686C1F" w:rsidTr="0017165E">
        <w:trPr>
          <w:trHeight w:val="125"/>
        </w:trPr>
        <w:tc>
          <w:tcPr>
            <w:tcW w:w="936" w:type="dxa"/>
            <w:tcBorders>
              <w:top w:val="single" w:sz="4" w:space="0" w:color="000000"/>
              <w:left w:val="single" w:sz="4" w:space="0" w:color="000000"/>
              <w:bottom w:val="single" w:sz="4" w:space="0" w:color="000000"/>
              <w:right w:val="single" w:sz="4" w:space="0" w:color="000000"/>
            </w:tcBorders>
          </w:tcPr>
          <w:p w:rsidR="00686C1F" w:rsidRDefault="00686C1F" w:rsidP="00686C1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2.</w:t>
            </w:r>
          </w:p>
        </w:tc>
        <w:tc>
          <w:tcPr>
            <w:tcW w:w="4182" w:type="dxa"/>
            <w:tcBorders>
              <w:top w:val="single" w:sz="4" w:space="0" w:color="000000"/>
              <w:left w:val="single" w:sz="4" w:space="0" w:color="000000"/>
              <w:bottom w:val="single" w:sz="4" w:space="0" w:color="000000"/>
              <w:right w:val="single" w:sz="4" w:space="0" w:color="000000"/>
            </w:tcBorders>
          </w:tcPr>
          <w:p w:rsidR="00686C1F" w:rsidRDefault="00686C1F" w:rsidP="00E04491">
            <w:pPr>
              <w:pBdr>
                <w:top w:val="nil"/>
                <w:left w:val="nil"/>
                <w:bottom w:val="nil"/>
                <w:right w:val="nil"/>
                <w:between w:val="nil"/>
              </w:pBdr>
              <w:spacing w:line="252" w:lineRule="auto"/>
              <w:ind w:leftChars="0" w:firstLineChars="0" w:firstLine="0"/>
              <w:jc w:val="both"/>
              <w:rPr>
                <w:sz w:val="28"/>
                <w:szCs w:val="28"/>
              </w:rPr>
            </w:pPr>
            <w:r>
              <w:rPr>
                <w:sz w:val="28"/>
                <w:szCs w:val="28"/>
              </w:rPr>
              <w:t xml:space="preserve">Знання законодавства у сфері </w:t>
            </w:r>
          </w:p>
        </w:tc>
        <w:tc>
          <w:tcPr>
            <w:tcW w:w="10205" w:type="dxa"/>
          </w:tcPr>
          <w:p w:rsidR="00686C1F" w:rsidRPr="00792EF3" w:rsidRDefault="00686C1F" w:rsidP="00E04491">
            <w:pPr>
              <w:pBdr>
                <w:top w:val="nil"/>
                <w:left w:val="nil"/>
                <w:bottom w:val="nil"/>
                <w:right w:val="nil"/>
                <w:between w:val="nil"/>
              </w:pBdr>
              <w:spacing w:line="252" w:lineRule="auto"/>
              <w:ind w:leftChars="0" w:firstLineChars="0" w:firstLine="0"/>
              <w:jc w:val="both"/>
              <w:rPr>
                <w:sz w:val="28"/>
                <w:szCs w:val="28"/>
              </w:rPr>
            </w:pPr>
            <w:r w:rsidRPr="00792EF3">
              <w:rPr>
                <w:sz w:val="28"/>
                <w:szCs w:val="28"/>
              </w:rPr>
              <w:t>Знання:</w:t>
            </w:r>
          </w:p>
          <w:p w:rsidR="001F3FD2" w:rsidRPr="001F3FD2" w:rsidRDefault="001F3FD2" w:rsidP="00E04491">
            <w:pPr>
              <w:spacing w:line="252" w:lineRule="auto"/>
              <w:ind w:leftChars="0" w:firstLineChars="0" w:firstLine="0"/>
              <w:jc w:val="both"/>
              <w:rPr>
                <w:sz w:val="28"/>
                <w:szCs w:val="28"/>
              </w:rPr>
            </w:pPr>
            <w:r w:rsidRPr="001F3FD2">
              <w:rPr>
                <w:sz w:val="28"/>
                <w:szCs w:val="28"/>
              </w:rPr>
              <w:t>Закон</w:t>
            </w:r>
            <w:r>
              <w:rPr>
                <w:sz w:val="28"/>
                <w:szCs w:val="28"/>
              </w:rPr>
              <w:t>у</w:t>
            </w:r>
            <w:r w:rsidRPr="001F3FD2">
              <w:rPr>
                <w:sz w:val="28"/>
                <w:szCs w:val="28"/>
              </w:rPr>
              <w:t xml:space="preserve"> України «Про захист рослин»;</w:t>
            </w:r>
          </w:p>
          <w:p w:rsidR="001F3FD2" w:rsidRDefault="001F3FD2" w:rsidP="00E04491">
            <w:pPr>
              <w:spacing w:line="252" w:lineRule="auto"/>
              <w:ind w:leftChars="0" w:firstLineChars="0" w:firstLine="0"/>
              <w:jc w:val="both"/>
              <w:rPr>
                <w:sz w:val="28"/>
                <w:szCs w:val="28"/>
              </w:rPr>
            </w:pPr>
            <w:r w:rsidRPr="001F3FD2">
              <w:rPr>
                <w:sz w:val="28"/>
                <w:szCs w:val="28"/>
              </w:rPr>
              <w:t>Закон</w:t>
            </w:r>
            <w:r>
              <w:rPr>
                <w:sz w:val="28"/>
                <w:szCs w:val="28"/>
              </w:rPr>
              <w:t>у</w:t>
            </w:r>
            <w:r w:rsidRPr="001F3FD2">
              <w:rPr>
                <w:sz w:val="28"/>
                <w:szCs w:val="28"/>
              </w:rPr>
              <w:t xml:space="preserve"> України «Про карантин рослин»;</w:t>
            </w:r>
          </w:p>
          <w:p w:rsidR="00E04491" w:rsidRPr="001F3FD2" w:rsidRDefault="00E04491" w:rsidP="00E04491">
            <w:pPr>
              <w:spacing w:line="252" w:lineRule="auto"/>
              <w:ind w:leftChars="0" w:firstLineChars="0" w:firstLine="0"/>
              <w:jc w:val="both"/>
              <w:rPr>
                <w:sz w:val="28"/>
                <w:szCs w:val="28"/>
              </w:rPr>
            </w:pPr>
            <w:r>
              <w:rPr>
                <w:sz w:val="28"/>
                <w:szCs w:val="28"/>
              </w:rPr>
              <w:t>р</w:t>
            </w:r>
            <w:r w:rsidRPr="001F3FD2">
              <w:rPr>
                <w:sz w:val="28"/>
                <w:szCs w:val="28"/>
              </w:rPr>
              <w:t xml:space="preserve">озпорядження </w:t>
            </w:r>
            <w:r>
              <w:rPr>
                <w:sz w:val="28"/>
                <w:szCs w:val="28"/>
              </w:rPr>
              <w:t>КМУ</w:t>
            </w:r>
            <w:r w:rsidRPr="001F3FD2">
              <w:rPr>
                <w:sz w:val="28"/>
                <w:szCs w:val="28"/>
              </w:rPr>
              <w:t xml:space="preserve"> від 24</w:t>
            </w:r>
            <w:r>
              <w:rPr>
                <w:sz w:val="28"/>
                <w:szCs w:val="28"/>
              </w:rPr>
              <w:t>.02.</w:t>
            </w:r>
            <w:r w:rsidRPr="001F3FD2">
              <w:rPr>
                <w:sz w:val="28"/>
                <w:szCs w:val="28"/>
              </w:rPr>
              <w:t>2016 №</w:t>
            </w:r>
            <w:r>
              <w:rPr>
                <w:sz w:val="28"/>
                <w:szCs w:val="28"/>
              </w:rPr>
              <w:t> </w:t>
            </w:r>
            <w:r w:rsidRPr="001F3FD2">
              <w:rPr>
                <w:sz w:val="28"/>
                <w:szCs w:val="28"/>
              </w:rPr>
              <w:t xml:space="preserve">228-р «Про схвалення Всеохоплюючої </w:t>
            </w:r>
            <w:r w:rsidRPr="001F3FD2">
              <w:rPr>
                <w:sz w:val="28"/>
                <w:szCs w:val="28"/>
              </w:rPr>
              <w:lastRenderedPageBreak/>
              <w:t>стратегії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sz w:val="28"/>
                <w:szCs w:val="28"/>
              </w:rPr>
              <w:t>;</w:t>
            </w:r>
          </w:p>
          <w:p w:rsidR="00686C1F" w:rsidRPr="00955880" w:rsidRDefault="001F3FD2" w:rsidP="00E04491">
            <w:pPr>
              <w:spacing w:line="252" w:lineRule="auto"/>
              <w:ind w:leftChars="0" w:firstLineChars="0" w:firstLine="0"/>
              <w:jc w:val="both"/>
              <w:rPr>
                <w:sz w:val="28"/>
                <w:szCs w:val="28"/>
              </w:rPr>
            </w:pPr>
            <w:r w:rsidRPr="001F3FD2">
              <w:rPr>
                <w:sz w:val="28"/>
                <w:szCs w:val="28"/>
              </w:rPr>
              <w:t>Положення Розділу IV Глави 4 «Санітарні та фітосанітарні заходи» Угоди про асоціацію між Україною та ЄС</w:t>
            </w:r>
          </w:p>
        </w:tc>
      </w:tr>
      <w:tr w:rsidR="00E04491" w:rsidTr="008D05AB">
        <w:trPr>
          <w:trHeight w:val="833"/>
        </w:trPr>
        <w:tc>
          <w:tcPr>
            <w:tcW w:w="936" w:type="dxa"/>
            <w:tcBorders>
              <w:top w:val="single" w:sz="4" w:space="0" w:color="000000"/>
              <w:left w:val="single" w:sz="4" w:space="0" w:color="000000"/>
              <w:bottom w:val="single" w:sz="4" w:space="0" w:color="000000"/>
              <w:right w:val="single" w:sz="4" w:space="0" w:color="000000"/>
            </w:tcBorders>
          </w:tcPr>
          <w:p w:rsidR="00E04491" w:rsidRDefault="00E04491" w:rsidP="00E0449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lastRenderedPageBreak/>
              <w:t>3.</w:t>
            </w:r>
          </w:p>
        </w:tc>
        <w:tc>
          <w:tcPr>
            <w:tcW w:w="4182" w:type="dxa"/>
            <w:tcBorders>
              <w:top w:val="single" w:sz="4" w:space="0" w:color="auto"/>
              <w:left w:val="single" w:sz="4" w:space="0" w:color="auto"/>
              <w:bottom w:val="single" w:sz="4" w:space="0" w:color="auto"/>
              <w:right w:val="single" w:sz="4" w:space="0" w:color="auto"/>
            </w:tcBorders>
          </w:tcPr>
          <w:p w:rsidR="00E04491" w:rsidRPr="00E04491" w:rsidRDefault="00E04491" w:rsidP="00E04491">
            <w:pPr>
              <w:spacing w:line="252" w:lineRule="auto"/>
              <w:ind w:leftChars="0" w:firstLineChars="0" w:firstLine="0"/>
              <w:jc w:val="both"/>
              <w:rPr>
                <w:sz w:val="28"/>
                <w:szCs w:val="28"/>
              </w:rPr>
            </w:pPr>
            <w:r w:rsidRPr="00E04491">
              <w:rPr>
                <w:sz w:val="28"/>
                <w:szCs w:val="28"/>
              </w:rPr>
              <w:t>Знання у сферах карантину та захисту рослин</w:t>
            </w:r>
          </w:p>
        </w:tc>
        <w:tc>
          <w:tcPr>
            <w:tcW w:w="10205" w:type="dxa"/>
            <w:tcBorders>
              <w:top w:val="single" w:sz="4" w:space="0" w:color="auto"/>
              <w:left w:val="single" w:sz="4" w:space="0" w:color="auto"/>
              <w:bottom w:val="single" w:sz="4" w:space="0" w:color="auto"/>
              <w:right w:val="single" w:sz="4" w:space="0" w:color="auto"/>
            </w:tcBorders>
          </w:tcPr>
          <w:p w:rsidR="00E04491" w:rsidRPr="00E04491" w:rsidRDefault="00E04491" w:rsidP="00E04491">
            <w:pPr>
              <w:spacing w:line="252" w:lineRule="auto"/>
              <w:ind w:leftChars="0" w:firstLineChars="0" w:firstLine="0"/>
              <w:jc w:val="both"/>
              <w:rPr>
                <w:sz w:val="28"/>
                <w:szCs w:val="28"/>
              </w:rPr>
            </w:pPr>
            <w:r w:rsidRPr="00E04491">
              <w:rPr>
                <w:sz w:val="28"/>
                <w:szCs w:val="28"/>
              </w:rPr>
              <w:t>- знання специфіки та сучасного стану справ у сферах карантину та захисту рослин;</w:t>
            </w:r>
          </w:p>
          <w:p w:rsidR="00E04491" w:rsidRPr="00E04491" w:rsidRDefault="00E04491" w:rsidP="00E04491">
            <w:pPr>
              <w:spacing w:line="252" w:lineRule="auto"/>
              <w:ind w:leftChars="0" w:firstLineChars="0" w:firstLine="0"/>
              <w:jc w:val="both"/>
              <w:rPr>
                <w:sz w:val="28"/>
                <w:szCs w:val="28"/>
              </w:rPr>
            </w:pPr>
            <w:r w:rsidRPr="00E04491">
              <w:rPr>
                <w:sz w:val="28"/>
                <w:szCs w:val="28"/>
              </w:rPr>
              <w:t>- знання проблематики у сферах карантину та захисту рослин</w:t>
            </w:r>
          </w:p>
        </w:tc>
      </w:tr>
    </w:tbl>
    <w:p w:rsidR="007E78BB" w:rsidRDefault="007E78BB" w:rsidP="004102C6">
      <w:pPr>
        <w:widowControl/>
        <w:pBdr>
          <w:top w:val="nil"/>
          <w:left w:val="nil"/>
          <w:bottom w:val="nil"/>
          <w:right w:val="nil"/>
          <w:between w:val="nil"/>
        </w:pBdr>
        <w:spacing w:line="240" w:lineRule="auto"/>
        <w:ind w:leftChars="0" w:left="0" w:firstLineChars="0" w:firstLine="0"/>
        <w:jc w:val="both"/>
        <w:rPr>
          <w:sz w:val="28"/>
          <w:szCs w:val="28"/>
        </w:rPr>
      </w:pPr>
    </w:p>
    <w:sectPr w:rsidR="007E78BB" w:rsidSect="00A715BF">
      <w:pgSz w:w="16838" w:h="11906" w:orient="landscape"/>
      <w:pgMar w:top="567" w:right="539"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1309"/>
    <w:multiLevelType w:val="hybridMultilevel"/>
    <w:tmpl w:val="FE2473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24B3C9E"/>
    <w:multiLevelType w:val="hybridMultilevel"/>
    <w:tmpl w:val="54A6E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BA233C"/>
    <w:multiLevelType w:val="hybridMultilevel"/>
    <w:tmpl w:val="C8C6E1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DF3E71"/>
    <w:multiLevelType w:val="hybridMultilevel"/>
    <w:tmpl w:val="48F2E9EE"/>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BB"/>
    <w:rsid w:val="00014F16"/>
    <w:rsid w:val="00056696"/>
    <w:rsid w:val="00064668"/>
    <w:rsid w:val="000A612A"/>
    <w:rsid w:val="000B2437"/>
    <w:rsid w:val="000E0B7F"/>
    <w:rsid w:val="000E3057"/>
    <w:rsid w:val="000F2514"/>
    <w:rsid w:val="00131DE8"/>
    <w:rsid w:val="00132178"/>
    <w:rsid w:val="00140C69"/>
    <w:rsid w:val="00145769"/>
    <w:rsid w:val="0017165E"/>
    <w:rsid w:val="001F3FD2"/>
    <w:rsid w:val="00207D96"/>
    <w:rsid w:val="002259BB"/>
    <w:rsid w:val="00273D41"/>
    <w:rsid w:val="002C312B"/>
    <w:rsid w:val="002D0C96"/>
    <w:rsid w:val="0032702F"/>
    <w:rsid w:val="00354F57"/>
    <w:rsid w:val="003921CF"/>
    <w:rsid w:val="003F2C36"/>
    <w:rsid w:val="004102C6"/>
    <w:rsid w:val="004769C1"/>
    <w:rsid w:val="004C0EF8"/>
    <w:rsid w:val="004E3BBC"/>
    <w:rsid w:val="00613AD9"/>
    <w:rsid w:val="0063387B"/>
    <w:rsid w:val="00644D93"/>
    <w:rsid w:val="00673860"/>
    <w:rsid w:val="00686C1F"/>
    <w:rsid w:val="006B2ECF"/>
    <w:rsid w:val="007337A6"/>
    <w:rsid w:val="00792EF3"/>
    <w:rsid w:val="007D2E0C"/>
    <w:rsid w:val="007E78BB"/>
    <w:rsid w:val="007F7469"/>
    <w:rsid w:val="00930BB9"/>
    <w:rsid w:val="00934156"/>
    <w:rsid w:val="00955880"/>
    <w:rsid w:val="00963799"/>
    <w:rsid w:val="00986F69"/>
    <w:rsid w:val="009C5455"/>
    <w:rsid w:val="00A715BF"/>
    <w:rsid w:val="00AC2F1F"/>
    <w:rsid w:val="00AD25B7"/>
    <w:rsid w:val="00AE0F79"/>
    <w:rsid w:val="00B104E0"/>
    <w:rsid w:val="00B11C32"/>
    <w:rsid w:val="00B2129A"/>
    <w:rsid w:val="00B54917"/>
    <w:rsid w:val="00B72402"/>
    <w:rsid w:val="00C5255C"/>
    <w:rsid w:val="00C941E4"/>
    <w:rsid w:val="00CA305E"/>
    <w:rsid w:val="00CC65B7"/>
    <w:rsid w:val="00CE3D0C"/>
    <w:rsid w:val="00D154FD"/>
    <w:rsid w:val="00D25827"/>
    <w:rsid w:val="00D27776"/>
    <w:rsid w:val="00D83A7D"/>
    <w:rsid w:val="00D874E3"/>
    <w:rsid w:val="00D9302E"/>
    <w:rsid w:val="00E04491"/>
    <w:rsid w:val="00E71CCC"/>
    <w:rsid w:val="00E826E3"/>
    <w:rsid w:val="00EB7D40"/>
    <w:rsid w:val="00F01CF2"/>
    <w:rsid w:val="00F77B97"/>
    <w:rsid w:val="00FA2669"/>
    <w:rsid w:val="00FA7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195F"/>
  <w15:docId w15:val="{AA07F100-03F5-49C0-8E9B-46C963AA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qFormat/>
    <w:rPr>
      <w:w w:val="100"/>
      <w:position w:val="-1"/>
      <w:effect w:val="none"/>
      <w:vertAlign w:val="baseline"/>
      <w:cs w:val="0"/>
      <w:em w:val="none"/>
    </w:rPr>
  </w:style>
  <w:style w:type="paragraph" w:styleId="a5">
    <w:name w:val="Balloon Text"/>
    <w:basedOn w:val="a"/>
    <w:qFormat/>
    <w:pPr>
      <w:ind w:firstLine="709"/>
      <w:jc w:val="both"/>
    </w:pPr>
    <w:rPr>
      <w:rFonts w:ascii="Tahoma" w:hAnsi="Tahoma"/>
      <w:sz w:val="16"/>
      <w:szCs w:val="16"/>
      <w:lang w:eastAsia="ru-RU"/>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ru-RU"/>
    </w:rPr>
  </w:style>
  <w:style w:type="paragraph" w:styleId="a7">
    <w:name w:val="List Paragraph"/>
    <w:basedOn w:val="a"/>
    <w:pPr>
      <w:ind w:left="720" w:firstLine="709"/>
      <w:contextualSpacing/>
      <w:jc w:val="both"/>
    </w:pPr>
    <w:rPr>
      <w:sz w:val="28"/>
      <w:szCs w:val="24"/>
      <w:lang w:eastAsia="ru-RU"/>
    </w:r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ind w:firstLine="0"/>
    </w:pPr>
    <w:rPr>
      <w:sz w:val="24"/>
      <w:szCs w:val="24"/>
      <w:lang w:val="ru-RU" w:eastAsia="ru-RU"/>
    </w:rPr>
  </w:style>
  <w:style w:type="character" w:customStyle="1" w:styleId="rvts0">
    <w:name w:val="rvts0"/>
    <w:basedOn w:val="a4"/>
    <w:rPr>
      <w:w w:val="100"/>
      <w:position w:val="-1"/>
      <w:effect w:val="none"/>
      <w:vertAlign w:val="baseline"/>
      <w:cs w:val="0"/>
      <w:em w:val="none"/>
    </w:rPr>
  </w:style>
  <w:style w:type="character" w:customStyle="1" w:styleId="spelle">
    <w:name w:val="spelle"/>
    <w:basedOn w:val="a4"/>
    <w:rPr>
      <w:w w:val="100"/>
      <w:position w:val="-1"/>
      <w:effect w:val="none"/>
      <w:vertAlign w:val="baseline"/>
      <w:cs w:val="0"/>
      <w:em w:val="none"/>
    </w:rPr>
  </w:style>
  <w:style w:type="character" w:customStyle="1" w:styleId="aa">
    <w:name w:val="Основний текст Знак"/>
    <w:rPr>
      <w:w w:val="100"/>
      <w:position w:val="-1"/>
      <w:sz w:val="28"/>
      <w:effect w:val="none"/>
      <w:vertAlign w:val="baseline"/>
      <w:cs w:val="0"/>
      <w:em w:val="none"/>
      <w:lang w:val="ru-RU" w:eastAsia="ru-RU" w:bidi="ar-SA"/>
    </w:rPr>
  </w:style>
  <w:style w:type="paragraph" w:styleId="ab">
    <w:name w:val="Body Text"/>
    <w:basedOn w:val="a"/>
    <w:pPr>
      <w:ind w:firstLine="0"/>
      <w:jc w:val="both"/>
    </w:pPr>
    <w:rPr>
      <w:rFonts w:ascii="Calibri" w:hAnsi="Calibri"/>
      <w:sz w:val="28"/>
      <w:lang w:val="ru-RU" w:eastAsia="ru-RU"/>
    </w:rPr>
  </w:style>
  <w:style w:type="paragraph" w:customStyle="1" w:styleId="ac">
    <w:name w:val="заголов"/>
    <w:basedOn w:val="a"/>
    <w:pPr>
      <w:suppressAutoHyphens w:val="0"/>
      <w:ind w:firstLine="0"/>
      <w:jc w:val="center"/>
    </w:pPr>
    <w:rPr>
      <w:b/>
      <w:kern w:val="2"/>
      <w:sz w:val="24"/>
      <w:szCs w:val="24"/>
      <w:lang w:eastAsia="ar-SA"/>
    </w:rPr>
  </w:style>
  <w:style w:type="paragraph" w:styleId="ad">
    <w:name w:val="Normal (Web)"/>
    <w:basedOn w:val="a"/>
    <w:qFormat/>
    <w:pPr>
      <w:spacing w:before="100" w:beforeAutospacing="1" w:after="100" w:afterAutospacing="1"/>
      <w:ind w:firstLine="0"/>
    </w:pPr>
    <w:rPr>
      <w:sz w:val="24"/>
      <w:szCs w:val="24"/>
      <w:lang w:val="ru-RU" w:eastAsia="ru-RU"/>
    </w:rPr>
  </w:style>
  <w:style w:type="paragraph" w:customStyle="1" w:styleId="rvps7">
    <w:name w:val="rvps7"/>
    <w:basedOn w:val="a"/>
    <w:pPr>
      <w:spacing w:before="100" w:beforeAutospacing="1" w:after="100" w:afterAutospacing="1"/>
      <w:ind w:firstLine="0"/>
    </w:pPr>
    <w:rPr>
      <w:sz w:val="24"/>
      <w:szCs w:val="24"/>
    </w:rPr>
  </w:style>
  <w:style w:type="character" w:customStyle="1" w:styleId="rvts15">
    <w:name w:val="rvts15"/>
    <w:basedOn w:val="a4"/>
    <w:rPr>
      <w:w w:val="100"/>
      <w:position w:val="-1"/>
      <w:effect w:val="none"/>
      <w:vertAlign w:val="baseline"/>
      <w:cs w:val="0"/>
      <w:em w:val="none"/>
    </w:rPr>
  </w:style>
  <w:style w:type="paragraph" w:customStyle="1" w:styleId="rvps12">
    <w:name w:val="rvps12"/>
    <w:basedOn w:val="a"/>
    <w:pPr>
      <w:spacing w:before="100" w:beforeAutospacing="1" w:after="100" w:afterAutospacing="1"/>
      <w:ind w:firstLine="0"/>
    </w:pPr>
    <w:rPr>
      <w:sz w:val="24"/>
      <w:szCs w:val="24"/>
    </w:rPr>
  </w:style>
  <w:style w:type="paragraph" w:customStyle="1" w:styleId="rvps14">
    <w:name w:val="rvps14"/>
    <w:basedOn w:val="a"/>
    <w:pPr>
      <w:spacing w:before="100" w:beforeAutospacing="1" w:after="100" w:afterAutospacing="1"/>
      <w:ind w:firstLine="0"/>
    </w:pPr>
    <w:rPr>
      <w:sz w:val="24"/>
      <w:szCs w:val="24"/>
    </w:rPr>
  </w:style>
  <w:style w:type="character" w:customStyle="1" w:styleId="rvts23">
    <w:name w:val="rvts23"/>
    <w:basedOn w:val="a4"/>
    <w:rPr>
      <w:w w:val="100"/>
      <w:position w:val="-1"/>
      <w:effect w:val="none"/>
      <w:vertAlign w:val="baseline"/>
      <w:cs w:val="0"/>
      <w:em w:val="none"/>
    </w:rPr>
  </w:style>
  <w:style w:type="paragraph" w:styleId="HTML">
    <w:name w:val="HTML Preformatted"/>
    <w:basedOn w:val="a"/>
    <w:qFormat/>
    <w:pPr>
      <w:ind w:firstLine="0"/>
    </w:pPr>
    <w:rPr>
      <w:rFonts w:ascii="Courier New" w:hAnsi="Courier New"/>
    </w:rPr>
  </w:style>
  <w:style w:type="character" w:customStyle="1" w:styleId="HTML0">
    <w:name w:val="Стандартний HTML Знак"/>
    <w:rPr>
      <w:rFonts w:ascii="Courier New" w:eastAsia="Times New Roman" w:hAnsi="Courier New" w:cs="Courier New"/>
      <w:w w:val="100"/>
      <w:position w:val="-1"/>
      <w:effect w:val="none"/>
      <w:vertAlign w:val="baseline"/>
      <w:cs w:val="0"/>
      <w:em w:val="none"/>
    </w:rPr>
  </w:style>
  <w:style w:type="paragraph" w:customStyle="1" w:styleId="Style5">
    <w:name w:val="Style5"/>
    <w:basedOn w:val="a"/>
    <w:pPr>
      <w:autoSpaceDE w:val="0"/>
      <w:autoSpaceDN w:val="0"/>
      <w:adjustRightInd w:val="0"/>
      <w:spacing w:line="254" w:lineRule="atLeast"/>
      <w:ind w:firstLine="0"/>
      <w:jc w:val="center"/>
    </w:pPr>
    <w:rPr>
      <w:sz w:val="24"/>
      <w:szCs w:val="24"/>
      <w:lang w:val="ru-RU" w:eastAsia="ru-RU"/>
    </w:rPr>
  </w:style>
  <w:style w:type="character" w:customStyle="1" w:styleId="FontStyle30">
    <w:name w:val="Font Style30"/>
    <w:rPr>
      <w:rFonts w:ascii="Times New Roman" w:hAnsi="Times New Roman" w:cs="Times New Roman"/>
      <w:w w:val="100"/>
      <w:position w:val="-1"/>
      <w:sz w:val="22"/>
      <w:szCs w:val="22"/>
      <w:effect w:val="none"/>
      <w:vertAlign w:val="baseline"/>
      <w:cs w:val="0"/>
      <w:em w:val="none"/>
    </w:rPr>
  </w:style>
  <w:style w:type="character" w:customStyle="1" w:styleId="FontStyle31">
    <w:name w:val="Font Style31"/>
    <w:rPr>
      <w:rFonts w:ascii="Franklin Gothic Medium" w:hAnsi="Franklin Gothic Medium" w:cs="Franklin Gothic Medium"/>
      <w:w w:val="100"/>
      <w:position w:val="-1"/>
      <w:sz w:val="20"/>
      <w:szCs w:val="20"/>
      <w:effect w:val="none"/>
      <w:vertAlign w:val="baseline"/>
      <w:cs w:val="0"/>
      <w:em w:val="none"/>
    </w:rPr>
  </w:style>
  <w:style w:type="paragraph" w:styleId="ae">
    <w:name w:val="Body Text Indent"/>
    <w:basedOn w:val="a"/>
    <w:qFormat/>
    <w:pPr>
      <w:spacing w:after="120"/>
      <w:ind w:left="283" w:firstLine="709"/>
      <w:jc w:val="both"/>
    </w:pPr>
    <w:rPr>
      <w:sz w:val="28"/>
      <w:szCs w:val="24"/>
    </w:rPr>
  </w:style>
  <w:style w:type="character" w:customStyle="1" w:styleId="af">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10">
    <w:name w:val="Основной текст1"/>
    <w:basedOn w:val="a"/>
    <w:pPr>
      <w:shd w:val="clear" w:color="auto" w:fill="FFFFFF"/>
      <w:spacing w:before="660" w:after="240" w:line="312" w:lineRule="atLeast"/>
      <w:ind w:firstLine="0"/>
      <w:jc w:val="both"/>
    </w:pPr>
    <w:rPr>
      <w:rFonts w:ascii="Calibri" w:hAnsi="Calibri"/>
      <w:sz w:val="27"/>
      <w:szCs w:val="27"/>
    </w:rPr>
  </w:style>
  <w:style w:type="paragraph" w:styleId="20">
    <w:name w:val="Body Text 2"/>
    <w:basedOn w:val="a"/>
    <w:qFormat/>
    <w:pPr>
      <w:spacing w:after="120" w:line="480" w:lineRule="auto"/>
      <w:ind w:firstLine="0"/>
    </w:pPr>
    <w:rPr>
      <w:sz w:val="24"/>
      <w:szCs w:val="24"/>
    </w:rPr>
  </w:style>
  <w:style w:type="character" w:customStyle="1" w:styleId="2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a4"/>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paragraph" w:customStyle="1" w:styleId="TableContents">
    <w:name w:val="Table Contents"/>
    <w:basedOn w:val="a"/>
    <w:pPr>
      <w:suppressLineNumbers/>
      <w:suppressAutoHyphens w:val="0"/>
      <w:ind w:firstLine="0"/>
    </w:pPr>
    <w:rPr>
      <w:rFonts w:eastAsia="Arial Unicode MS" w:cs="Arial Unicode MS"/>
      <w:kern w:val="1"/>
      <w:sz w:val="24"/>
      <w:szCs w:val="24"/>
      <w:lang w:eastAsia="hi-IN" w:bidi="hi-IN"/>
    </w:rPr>
  </w:style>
  <w:style w:type="paragraph" w:styleId="22">
    <w:name w:val="Body Text Indent 2"/>
    <w:basedOn w:val="a"/>
    <w:qFormat/>
    <w:pPr>
      <w:spacing w:after="120" w:line="480" w:lineRule="auto"/>
      <w:ind w:left="283" w:firstLine="709"/>
      <w:jc w:val="both"/>
    </w:pPr>
    <w:rPr>
      <w:sz w:val="28"/>
      <w:szCs w:val="24"/>
      <w:lang w:eastAsia="ru-RU"/>
    </w:rPr>
  </w:style>
  <w:style w:type="character" w:customStyle="1" w:styleId="23">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noProof/>
      <w:sz w:val="24"/>
      <w:szCs w:val="24"/>
    </w:rPr>
  </w:style>
  <w:style w:type="character" w:customStyle="1" w:styleId="af2">
    <w:name w:val="Нижній колонтитул Знак"/>
    <w:rPr>
      <w:rFonts w:ascii="Times New Roman" w:eastAsia="Times New Roman" w:hAnsi="Times New Roman"/>
      <w:noProof/>
      <w:w w:val="100"/>
      <w:position w:val="-1"/>
      <w:sz w:val="24"/>
      <w:szCs w:val="24"/>
      <w:effect w:val="none"/>
      <w:vertAlign w:val="baseline"/>
      <w:cs w:val="0"/>
      <w:em w:val="none"/>
    </w:rPr>
  </w:style>
  <w:style w:type="paragraph" w:customStyle="1" w:styleId="11">
    <w:name w:val="Шрифт абзацу за промовчанням1"/>
    <w:pPr>
      <w:suppressAutoHyphens/>
      <w:spacing w:line="1" w:lineRule="atLeast"/>
      <w:ind w:leftChars="-1" w:left="-1" w:hangingChars="1"/>
      <w:textDirection w:val="btLr"/>
      <w:textAlignment w:val="top"/>
      <w:outlineLvl w:val="0"/>
    </w:pPr>
    <w:rPr>
      <w:noProof/>
      <w:position w:val="-1"/>
    </w:rPr>
  </w:style>
  <w:style w:type="paragraph" w:customStyle="1" w:styleId="12">
    <w:name w:val="Звичайний1"/>
    <w:pPr>
      <w:suppressAutoHyphens/>
      <w:spacing w:line="1" w:lineRule="atLeast"/>
      <w:ind w:leftChars="-1" w:left="-1" w:hangingChars="1"/>
      <w:textDirection w:val="btLr"/>
      <w:textAlignment w:val="top"/>
      <w:outlineLvl w:val="0"/>
    </w:pPr>
    <w:rPr>
      <w:color w:val="000000"/>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afa">
    <w:name w:val="Нормальний текст"/>
    <w:basedOn w:val="a"/>
    <w:rsid w:val="00686C1F"/>
    <w:pPr>
      <w:widowControl/>
      <w:suppressAutoHyphens w:val="0"/>
      <w:spacing w:before="120" w:line="240" w:lineRule="auto"/>
      <w:ind w:leftChars="0" w:left="0" w:firstLineChars="0" w:firstLine="567"/>
      <w:textDirection w:val="lrTb"/>
      <w:textAlignment w:val="auto"/>
      <w:outlineLvl w:val="9"/>
    </w:pPr>
    <w:rPr>
      <w:rFonts w:ascii="Antiqua" w:hAnsi="Antiqua"/>
      <w:color w:val="auto"/>
      <w:position w:val="0"/>
      <w:sz w:val="26"/>
      <w:lang w:eastAsia="ru-RU"/>
    </w:rPr>
  </w:style>
  <w:style w:type="character" w:customStyle="1" w:styleId="st42">
    <w:name w:val="st42"/>
    <w:uiPriority w:val="99"/>
    <w:rsid w:val="00686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39918">
      <w:bodyDiv w:val="1"/>
      <w:marLeft w:val="0"/>
      <w:marRight w:val="0"/>
      <w:marTop w:val="0"/>
      <w:marBottom w:val="0"/>
      <w:divBdr>
        <w:top w:val="none" w:sz="0" w:space="0" w:color="auto"/>
        <w:left w:val="none" w:sz="0" w:space="0" w:color="auto"/>
        <w:bottom w:val="none" w:sz="0" w:space="0" w:color="auto"/>
        <w:right w:val="none" w:sz="0" w:space="0" w:color="auto"/>
      </w:divBdr>
    </w:div>
    <w:div w:id="2008708853">
      <w:bodyDiv w:val="1"/>
      <w:marLeft w:val="0"/>
      <w:marRight w:val="0"/>
      <w:marTop w:val="0"/>
      <w:marBottom w:val="0"/>
      <w:divBdr>
        <w:top w:val="none" w:sz="0" w:space="0" w:color="auto"/>
        <w:left w:val="none" w:sz="0" w:space="0" w:color="auto"/>
        <w:bottom w:val="none" w:sz="0" w:space="0" w:color="auto"/>
        <w:right w:val="none" w:sz="0" w:space="0" w:color="auto"/>
      </w:divBdr>
    </w:div>
    <w:div w:id="203673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print1442832951374430" TargetMode="External"/><Relationship Id="rId3" Type="http://schemas.openxmlformats.org/officeDocument/2006/relationships/styles" Target="styles.xml"/><Relationship Id="rId7" Type="http://schemas.openxmlformats.org/officeDocument/2006/relationships/hyperlink" Target="http://zakon3.rada.gov.ua/laws/show/889-19/print1442832951374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kp210237?ed=2021_03_24&amp;an=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q+xQ/8SMTtV6XYdjHK7SH9wsA==">AMUW2mUcH2ZJ4NFtMaAOnRaqE/pjiLmVALA/bilF91RpljmPb+HG4SFn6KVr9gdpsYMLgHdaMkoEreZ9LCXy3g39RltZvW8iSzXWPm+guKcvTyMcJBvjBuRrBe5JBp5asimgPRL2hICO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6359</Words>
  <Characters>3626</Characters>
  <Application>Microsoft Office Word</Application>
  <DocSecurity>0</DocSecurity>
  <Lines>30</Lines>
  <Paragraphs>19</Paragraphs>
  <ScaleCrop>false</ScaleCrop>
  <HeadingPairs>
    <vt:vector size="4" baseType="variant">
      <vt:variant>
        <vt:lpstr>Назва</vt:lpstr>
      </vt:variant>
      <vt:variant>
        <vt:i4>1</vt:i4>
      </vt:variant>
      <vt:variant>
        <vt:lpstr>Заголовки</vt:lpstr>
      </vt:variant>
      <vt:variant>
        <vt:i4>7</vt:i4>
      </vt:variant>
    </vt:vector>
  </HeadingPairs>
  <TitlesOfParts>
    <vt:vector size="8" baseType="lpstr">
      <vt:lpstr/>
      <vt:lpstr/>
      <vt:lpstr/>
      <vt:lpstr/>
      <vt:lpstr>УМОВИ проведення конкурсу </vt:lpstr>
      <vt:lpstr>на зайняття посади керівника експертної групи у сфері захисту рослин директорату</vt:lpstr>
      <vt: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андрущенко</dc:creator>
  <cp:lastModifiedBy>Кашуба Наталія Анатоліївна</cp:lastModifiedBy>
  <cp:revision>10</cp:revision>
  <cp:lastPrinted>2021-09-01T15:55:00Z</cp:lastPrinted>
  <dcterms:created xsi:type="dcterms:W3CDTF">2021-10-23T09:30:00Z</dcterms:created>
  <dcterms:modified xsi:type="dcterms:W3CDTF">2021-10-25T08:21:00Z</dcterms:modified>
</cp:coreProperties>
</file>