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5E" w:rsidRDefault="0033435E">
      <w:pPr>
        <w:pBdr>
          <w:top w:val="nil"/>
          <w:left w:val="nil"/>
          <w:bottom w:val="nil"/>
          <w:right w:val="nil"/>
          <w:between w:val="nil"/>
        </w:pBdr>
        <w:spacing w:line="276" w:lineRule="auto"/>
        <w:ind w:left="0" w:hanging="2"/>
        <w:rPr>
          <w:rFonts w:ascii="Arial" w:eastAsia="Arial" w:hAnsi="Arial" w:cs="Arial"/>
          <w:sz w:val="22"/>
          <w:szCs w:val="22"/>
        </w:rPr>
      </w:pPr>
    </w:p>
    <w:tbl>
      <w:tblPr>
        <w:tblStyle w:val="af8"/>
        <w:tblW w:w="2971" w:type="dxa"/>
        <w:tblInd w:w="12333" w:type="dxa"/>
        <w:tblLayout w:type="fixed"/>
        <w:tblLook w:val="0000" w:firstRow="0" w:lastRow="0" w:firstColumn="0" w:lastColumn="0" w:noHBand="0" w:noVBand="0"/>
      </w:tblPr>
      <w:tblGrid>
        <w:gridCol w:w="2971"/>
      </w:tblGrid>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ЗАТВЕРДЖЕНО</w:t>
            </w:r>
          </w:p>
        </w:tc>
      </w:tr>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наказом Міністерства економіки України</w:t>
            </w:r>
          </w:p>
        </w:tc>
      </w:tr>
      <w:tr w:rsidR="00943ACD" w:rsidRPr="00943ACD" w:rsidTr="00E30D54">
        <w:tc>
          <w:tcPr>
            <w:tcW w:w="2971" w:type="dxa"/>
          </w:tcPr>
          <w:p w:rsidR="0033435E" w:rsidRPr="00943ACD" w:rsidRDefault="00916F3A" w:rsidP="00F0444E">
            <w:pPr>
              <w:widowControl/>
              <w:pBdr>
                <w:top w:val="nil"/>
                <w:left w:val="nil"/>
                <w:bottom w:val="nil"/>
                <w:right w:val="nil"/>
                <w:between w:val="nil"/>
              </w:pBdr>
              <w:spacing w:line="240" w:lineRule="auto"/>
              <w:ind w:left="1" w:hanging="3"/>
              <w:rPr>
                <w:color w:val="auto"/>
                <w:sz w:val="28"/>
                <w:szCs w:val="28"/>
              </w:rPr>
            </w:pPr>
            <w:r w:rsidRPr="00943ACD">
              <w:rPr>
                <w:color w:val="auto"/>
                <w:sz w:val="28"/>
                <w:szCs w:val="28"/>
              </w:rPr>
              <w:t xml:space="preserve">від </w:t>
            </w:r>
            <w:r w:rsidR="00BE1F20">
              <w:rPr>
                <w:color w:val="auto"/>
                <w:sz w:val="28"/>
                <w:szCs w:val="28"/>
              </w:rPr>
              <w:t>02</w:t>
            </w:r>
            <w:r w:rsidRPr="00943ACD">
              <w:rPr>
                <w:color w:val="auto"/>
                <w:sz w:val="28"/>
                <w:szCs w:val="28"/>
              </w:rPr>
              <w:t>.</w:t>
            </w:r>
            <w:r w:rsidR="00F0444E" w:rsidRPr="00943ACD">
              <w:rPr>
                <w:color w:val="auto"/>
                <w:sz w:val="28"/>
                <w:szCs w:val="28"/>
              </w:rPr>
              <w:t>0</w:t>
            </w:r>
            <w:r w:rsidR="00BE1F20">
              <w:rPr>
                <w:color w:val="auto"/>
                <w:sz w:val="28"/>
                <w:szCs w:val="28"/>
              </w:rPr>
              <w:t>9</w:t>
            </w:r>
            <w:r w:rsidRPr="00943ACD">
              <w:rPr>
                <w:color w:val="auto"/>
                <w:sz w:val="28"/>
                <w:szCs w:val="28"/>
              </w:rPr>
              <w:t xml:space="preserve">.2021 р. № </w:t>
            </w:r>
            <w:r w:rsidR="00F0671E" w:rsidRPr="00943ACD">
              <w:rPr>
                <w:color w:val="auto"/>
                <w:sz w:val="28"/>
                <w:szCs w:val="28"/>
              </w:rPr>
              <w:t>4</w:t>
            </w:r>
            <w:r w:rsidR="00BE1F20">
              <w:rPr>
                <w:color w:val="auto"/>
                <w:sz w:val="28"/>
                <w:szCs w:val="28"/>
              </w:rPr>
              <w:t>7</w:t>
            </w:r>
            <w:r w:rsidRPr="00943ACD">
              <w:rPr>
                <w:color w:val="auto"/>
                <w:sz w:val="28"/>
                <w:szCs w:val="28"/>
              </w:rPr>
              <w:t>-д</w:t>
            </w:r>
          </w:p>
          <w:p w:rsidR="0033435E" w:rsidRPr="00943ACD" w:rsidRDefault="0033435E">
            <w:pPr>
              <w:widowControl/>
              <w:pBdr>
                <w:top w:val="nil"/>
                <w:left w:val="nil"/>
                <w:bottom w:val="nil"/>
                <w:right w:val="nil"/>
                <w:between w:val="nil"/>
              </w:pBdr>
              <w:spacing w:line="240" w:lineRule="auto"/>
              <w:jc w:val="right"/>
              <w:rPr>
                <w:color w:val="auto"/>
                <w:sz w:val="10"/>
                <w:szCs w:val="10"/>
              </w:rPr>
            </w:pPr>
          </w:p>
        </w:tc>
      </w:tr>
    </w:tbl>
    <w:p w:rsidR="0033435E" w:rsidRDefault="00916F3A">
      <w:pPr>
        <w:widowControl/>
        <w:pBdr>
          <w:top w:val="nil"/>
          <w:left w:val="nil"/>
          <w:bottom w:val="nil"/>
          <w:right w:val="nil"/>
          <w:between w:val="nil"/>
        </w:pBdr>
        <w:spacing w:line="240" w:lineRule="auto"/>
        <w:ind w:left="1" w:hanging="3"/>
        <w:jc w:val="center"/>
        <w:rPr>
          <w:b/>
          <w:sz w:val="28"/>
          <w:szCs w:val="28"/>
        </w:rPr>
      </w:pPr>
      <w:r>
        <w:rPr>
          <w:b/>
          <w:sz w:val="28"/>
          <w:szCs w:val="28"/>
        </w:rPr>
        <w:t>УМОВИ</w:t>
      </w:r>
      <w:r>
        <w:rPr>
          <w:b/>
          <w:sz w:val="28"/>
          <w:szCs w:val="28"/>
        </w:rPr>
        <w:br/>
        <w:t xml:space="preserve">проведення конкурсу </w:t>
      </w:r>
    </w:p>
    <w:p w:rsidR="0063125B" w:rsidRDefault="00916F3A" w:rsidP="00692E75">
      <w:pPr>
        <w:pStyle w:val="LO-normal"/>
        <w:spacing w:before="0" w:after="0"/>
        <w:ind w:left="1" w:hanging="3"/>
        <w:jc w:val="center"/>
        <w:rPr>
          <w:rFonts w:ascii="Times New Roman" w:eastAsia="Calibri" w:hAnsi="Times New Roman" w:cs="Times New Roman"/>
          <w:sz w:val="28"/>
          <w:szCs w:val="28"/>
          <w:lang w:eastAsia="uk-UA"/>
        </w:rPr>
      </w:pPr>
      <w:bookmarkStart w:id="0" w:name="_heading=h.30j0zll" w:colFirst="0" w:colLast="0"/>
      <w:bookmarkEnd w:id="0"/>
      <w:r w:rsidRPr="006C3474">
        <w:rPr>
          <w:rFonts w:ascii="Times New Roman" w:hAnsi="Times New Roman" w:cs="Times New Roman"/>
          <w:sz w:val="28"/>
          <w:szCs w:val="28"/>
        </w:rPr>
        <w:t xml:space="preserve">на зайняття посади державної служби </w:t>
      </w:r>
      <w:r w:rsidR="005D5837" w:rsidRPr="00692E75">
        <w:rPr>
          <w:rFonts w:ascii="Times New Roman" w:hAnsi="Times New Roman" w:cs="Times New Roman"/>
          <w:sz w:val="28"/>
          <w:szCs w:val="28"/>
        </w:rPr>
        <w:t xml:space="preserve">головного спеціаліста </w:t>
      </w:r>
      <w:r w:rsidR="00692E75" w:rsidRPr="00692E75">
        <w:rPr>
          <w:rFonts w:ascii="Times New Roman" w:eastAsia="Calibri" w:hAnsi="Times New Roman" w:cs="Times New Roman"/>
          <w:sz w:val="28"/>
          <w:szCs w:val="28"/>
          <w:lang w:eastAsia="uk-UA"/>
        </w:rPr>
        <w:t>відділу урегулювання торгових суперечок</w:t>
      </w:r>
    </w:p>
    <w:p w:rsidR="0063125B" w:rsidRDefault="00692E75" w:rsidP="00692E75">
      <w:pPr>
        <w:pStyle w:val="LO-normal"/>
        <w:spacing w:before="0" w:after="0"/>
        <w:ind w:left="1" w:hanging="3"/>
        <w:jc w:val="center"/>
        <w:rPr>
          <w:rFonts w:ascii="Times New Roman" w:eastAsia="Calibri" w:hAnsi="Times New Roman" w:cs="Times New Roman"/>
          <w:sz w:val="28"/>
          <w:szCs w:val="28"/>
          <w:lang w:eastAsia="uk-UA"/>
        </w:rPr>
      </w:pPr>
      <w:r w:rsidRPr="00692E75">
        <w:rPr>
          <w:rFonts w:ascii="Times New Roman" w:eastAsia="Calibri" w:hAnsi="Times New Roman" w:cs="Times New Roman"/>
          <w:sz w:val="28"/>
          <w:szCs w:val="28"/>
          <w:lang w:eastAsia="uk-UA"/>
        </w:rPr>
        <w:t>управління захисту інтересів вітчизняних товаровиробників на зовнішніх ринках</w:t>
      </w:r>
    </w:p>
    <w:p w:rsidR="000950F6" w:rsidRPr="0063125B" w:rsidRDefault="00692E75" w:rsidP="0063125B">
      <w:pPr>
        <w:pStyle w:val="LO-normal"/>
        <w:spacing w:before="0" w:after="0"/>
        <w:ind w:left="1" w:hanging="3"/>
        <w:jc w:val="center"/>
        <w:rPr>
          <w:rFonts w:ascii="Times New Roman" w:eastAsia="Calibri" w:hAnsi="Times New Roman" w:cs="Times New Roman"/>
          <w:sz w:val="28"/>
          <w:szCs w:val="28"/>
          <w:lang w:eastAsia="uk-UA"/>
        </w:rPr>
      </w:pPr>
      <w:r w:rsidRPr="00692E75">
        <w:rPr>
          <w:rFonts w:ascii="Times New Roman" w:eastAsia="Calibri" w:hAnsi="Times New Roman" w:cs="Times New Roman"/>
          <w:sz w:val="28"/>
          <w:szCs w:val="28"/>
          <w:lang w:eastAsia="uk-UA"/>
        </w:rPr>
        <w:t>департаменту зовнішньоекономічної діяльності</w:t>
      </w:r>
      <w:r w:rsidR="0063125B">
        <w:rPr>
          <w:rFonts w:ascii="Times New Roman" w:eastAsia="Calibri" w:hAnsi="Times New Roman" w:cs="Times New Roman"/>
          <w:sz w:val="28"/>
          <w:szCs w:val="28"/>
          <w:lang w:eastAsia="uk-UA"/>
        </w:rPr>
        <w:t xml:space="preserve"> </w:t>
      </w:r>
      <w:r w:rsidRPr="00692E75">
        <w:rPr>
          <w:rFonts w:ascii="Times New Roman" w:eastAsia="Calibri" w:hAnsi="Times New Roman" w:cs="Times New Roman"/>
          <w:sz w:val="28"/>
          <w:szCs w:val="28"/>
          <w:lang w:eastAsia="uk-UA"/>
        </w:rPr>
        <w:t>та торговельного захисту</w:t>
      </w:r>
      <w:r w:rsidR="00916F3A" w:rsidRPr="00692E75">
        <w:rPr>
          <w:rFonts w:ascii="Times New Roman" w:hAnsi="Times New Roman" w:cs="Times New Roman"/>
          <w:sz w:val="28"/>
          <w:szCs w:val="28"/>
        </w:rPr>
        <w:t xml:space="preserve">, категорія </w:t>
      </w:r>
      <w:r w:rsidR="00916F3A" w:rsidRPr="006C3474">
        <w:rPr>
          <w:rFonts w:ascii="Times New Roman" w:hAnsi="Times New Roman" w:cs="Times New Roman"/>
          <w:sz w:val="28"/>
          <w:szCs w:val="28"/>
        </w:rPr>
        <w:t>«В»</w:t>
      </w:r>
    </w:p>
    <w:tbl>
      <w:tblPr>
        <w:tblStyle w:val="af9"/>
        <w:tblW w:w="15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4162"/>
        <w:gridCol w:w="10225"/>
      </w:tblGrid>
      <w:tr w:rsidR="0033435E">
        <w:tc>
          <w:tcPr>
            <w:tcW w:w="15323" w:type="dxa"/>
            <w:gridSpan w:val="3"/>
            <w:vAlign w:val="center"/>
          </w:tcPr>
          <w:p w:rsidR="0033435E" w:rsidRDefault="00916F3A">
            <w:pPr>
              <w:widowControl/>
              <w:pBdr>
                <w:top w:val="nil"/>
                <w:left w:val="nil"/>
                <w:bottom w:val="nil"/>
                <w:right w:val="nil"/>
                <w:between w:val="nil"/>
              </w:pBdr>
              <w:spacing w:line="240" w:lineRule="auto"/>
              <w:ind w:left="1" w:hanging="3"/>
              <w:jc w:val="center"/>
              <w:rPr>
                <w:sz w:val="28"/>
                <w:szCs w:val="28"/>
              </w:rPr>
            </w:pPr>
            <w:r>
              <w:rPr>
                <w:sz w:val="28"/>
                <w:szCs w:val="28"/>
              </w:rPr>
              <w:t>Загальні умови</w:t>
            </w:r>
          </w:p>
        </w:tc>
      </w:tr>
      <w:tr w:rsidR="00F56C5C">
        <w:trPr>
          <w:trHeight w:val="739"/>
        </w:trPr>
        <w:tc>
          <w:tcPr>
            <w:tcW w:w="5098" w:type="dxa"/>
            <w:gridSpan w:val="2"/>
          </w:tcPr>
          <w:p w:rsidR="00F56C5C" w:rsidRDefault="00F56C5C" w:rsidP="00F56C5C">
            <w:pPr>
              <w:widowControl/>
              <w:pBdr>
                <w:top w:val="nil"/>
                <w:left w:val="nil"/>
                <w:bottom w:val="nil"/>
                <w:right w:val="nil"/>
                <w:between w:val="nil"/>
              </w:pBdr>
              <w:spacing w:line="240" w:lineRule="auto"/>
              <w:ind w:left="1" w:right="126" w:hanging="3"/>
              <w:rPr>
                <w:sz w:val="28"/>
                <w:szCs w:val="28"/>
              </w:rPr>
            </w:pPr>
            <w:r>
              <w:rPr>
                <w:sz w:val="28"/>
                <w:szCs w:val="28"/>
              </w:rPr>
              <w:t>Посадові обов’язки</w:t>
            </w:r>
          </w:p>
        </w:tc>
        <w:tc>
          <w:tcPr>
            <w:tcW w:w="10225" w:type="dxa"/>
          </w:tcPr>
          <w:p w:rsidR="00FE314F" w:rsidRPr="00692E75" w:rsidRDefault="00FE314F" w:rsidP="00FE314F">
            <w:pPr>
              <w:pStyle w:val="ad"/>
              <w:spacing w:before="0" w:beforeAutospacing="0" w:after="0" w:afterAutospacing="0"/>
              <w:ind w:left="1" w:hanging="3"/>
              <w:contextualSpacing/>
              <w:jc w:val="both"/>
              <w:rPr>
                <w:color w:val="auto"/>
                <w:sz w:val="28"/>
                <w:szCs w:val="28"/>
                <w:lang w:val="uk-UA"/>
              </w:rPr>
            </w:pPr>
            <w:r w:rsidRPr="00692E75">
              <w:rPr>
                <w:color w:val="auto"/>
                <w:sz w:val="28"/>
                <w:szCs w:val="28"/>
              </w:rPr>
              <w:t>- </w:t>
            </w:r>
            <w:r w:rsidRPr="00692E75">
              <w:rPr>
                <w:color w:val="auto"/>
                <w:sz w:val="28"/>
                <w:szCs w:val="28"/>
                <w:lang w:val="uk-UA"/>
              </w:rPr>
              <w:t>участь у здійсненні заходів щодо захисту прав та інтересів України в торговельно-економічній сфері в рамках СОТ та міжнародних договорів України, зокрема:</w:t>
            </w:r>
          </w:p>
          <w:p w:rsidR="00FE314F" w:rsidRPr="00692E75" w:rsidRDefault="00FE314F" w:rsidP="00FE314F">
            <w:pPr>
              <w:pStyle w:val="ad"/>
              <w:spacing w:before="0" w:beforeAutospacing="0" w:after="0" w:afterAutospacing="0"/>
              <w:ind w:left="1" w:hanging="3"/>
              <w:contextualSpacing/>
              <w:jc w:val="both"/>
              <w:rPr>
                <w:color w:val="auto"/>
                <w:sz w:val="28"/>
                <w:szCs w:val="28"/>
                <w:lang w:val="uk-UA"/>
              </w:rPr>
            </w:pPr>
            <w:r w:rsidRPr="00692E75">
              <w:rPr>
                <w:color w:val="auto"/>
                <w:sz w:val="28"/>
                <w:szCs w:val="28"/>
                <w:lang w:val="uk-UA"/>
              </w:rPr>
              <w:t>- участь у підготовці про</w:t>
            </w:r>
            <w:r w:rsidR="009E49A9">
              <w:rPr>
                <w:color w:val="auto"/>
                <w:sz w:val="28"/>
                <w:szCs w:val="28"/>
                <w:lang w:val="uk-UA"/>
              </w:rPr>
              <w:t>е</w:t>
            </w:r>
            <w:r w:rsidRPr="00692E75">
              <w:rPr>
                <w:color w:val="auto"/>
                <w:sz w:val="28"/>
                <w:szCs w:val="28"/>
                <w:lang w:val="uk-UA"/>
              </w:rPr>
              <w:t>ктів документів, пов’язаних із забезпеченням захисту прав та інтересів України в торговельно-економічній сфері в рамках СОТ та міжнародних договорів України під час проведення консультацій та/або врегулювання суперечок, у тому числі в якості третьої сторони у справах між членами СОТ у разі наявності суттєвого інтересу;</w:t>
            </w:r>
          </w:p>
          <w:p w:rsidR="00FE314F" w:rsidRPr="003006AD" w:rsidRDefault="00FE314F" w:rsidP="00FE314F">
            <w:pPr>
              <w:pStyle w:val="ad"/>
              <w:spacing w:before="0" w:beforeAutospacing="0" w:after="0" w:afterAutospacing="0"/>
              <w:ind w:left="1" w:hanging="3"/>
              <w:contextualSpacing/>
              <w:jc w:val="both"/>
              <w:rPr>
                <w:color w:val="00B050"/>
                <w:sz w:val="28"/>
                <w:szCs w:val="28"/>
                <w:lang w:val="uk-UA"/>
              </w:rPr>
            </w:pPr>
            <w:r w:rsidRPr="00692E75">
              <w:rPr>
                <w:color w:val="auto"/>
                <w:sz w:val="28"/>
                <w:szCs w:val="28"/>
                <w:lang w:val="uk-UA"/>
              </w:rPr>
              <w:t xml:space="preserve">- аналіз повідомлень, інформації, документів, обґрунтувань, матеріалів і доказів, що надійшли від центральних органів виконавчої влади, інших державних органів, органів місцевого самоврядування, підприємств, установ та організацій незалежно від форм власності, міжнародних міжурядових організацій, закордонних юрисдикційних органів, закордонних дипломатичних установ України та структурних підрозділів Мінекономіки на наявність підстав вважати, що заходи, вжиті членом СОТ чи стороною міжнародного договору України в торговельно-економічній сфері, не відповідають положенням будь-якої з угод СОТ чи положенням міжнародного договору або на відсутність підстав вважати, що заходи, вжиті членом СОТ чи стороною міжнародного договору України, не відповідають положенням будь-якої з угод СОТ чи міжнародному договору України; </w:t>
            </w:r>
          </w:p>
          <w:p w:rsidR="00FE314F" w:rsidRPr="00692E75" w:rsidRDefault="00FE314F" w:rsidP="00FE314F">
            <w:pPr>
              <w:pStyle w:val="ad"/>
              <w:spacing w:before="0" w:beforeAutospacing="0" w:after="0" w:afterAutospacing="0"/>
              <w:ind w:left="1" w:hanging="3"/>
              <w:contextualSpacing/>
              <w:jc w:val="both"/>
              <w:rPr>
                <w:color w:val="auto"/>
                <w:sz w:val="28"/>
                <w:szCs w:val="28"/>
                <w:lang w:val="uk-UA"/>
              </w:rPr>
            </w:pPr>
            <w:r w:rsidRPr="00692E75">
              <w:rPr>
                <w:color w:val="auto"/>
                <w:sz w:val="28"/>
                <w:szCs w:val="28"/>
                <w:lang w:val="uk-UA"/>
              </w:rPr>
              <w:t>- здійснення технічного та організаційного забезпечення діяльності міжвідомчих робочих груп із забезпечення захисту прав та інтересів України в торговельно-</w:t>
            </w:r>
            <w:r w:rsidRPr="00692E75">
              <w:rPr>
                <w:color w:val="auto"/>
                <w:sz w:val="28"/>
                <w:szCs w:val="28"/>
                <w:lang w:val="uk-UA"/>
              </w:rPr>
              <w:lastRenderedPageBreak/>
              <w:t>економічній сфері в рамках СОТ та міжнародних договорів України;</w:t>
            </w:r>
          </w:p>
          <w:p w:rsidR="00FE314F" w:rsidRPr="00692E75" w:rsidRDefault="00FE314F" w:rsidP="00FE314F">
            <w:pPr>
              <w:spacing w:line="240" w:lineRule="auto"/>
              <w:ind w:left="1" w:hanging="3"/>
              <w:jc w:val="both"/>
              <w:rPr>
                <w:color w:val="auto"/>
                <w:sz w:val="28"/>
                <w:szCs w:val="28"/>
              </w:rPr>
            </w:pPr>
            <w:r w:rsidRPr="00692E75">
              <w:rPr>
                <w:color w:val="auto"/>
                <w:sz w:val="28"/>
                <w:szCs w:val="28"/>
              </w:rPr>
              <w:t>- участь у представленні прав та інтересів України під час проведення консультацій та/або врегулювання суперечок між членами СОТ у порядку, установленому законодавством та міжнародними договорами України, у тому числі представленні позиції України в Органі з питань вирішення спорів, а також у представлені прав та інтересів України під час вирішення спорів в рамках міжнародних договорів України;</w:t>
            </w:r>
          </w:p>
          <w:p w:rsidR="00FE314F" w:rsidRPr="00692E75" w:rsidRDefault="00FE314F" w:rsidP="00FE314F">
            <w:pPr>
              <w:spacing w:line="240" w:lineRule="auto"/>
              <w:ind w:left="1" w:hanging="3"/>
              <w:jc w:val="both"/>
              <w:rPr>
                <w:color w:val="auto"/>
                <w:sz w:val="28"/>
                <w:szCs w:val="28"/>
              </w:rPr>
            </w:pPr>
            <w:r w:rsidRPr="00692E75">
              <w:rPr>
                <w:color w:val="auto"/>
                <w:sz w:val="28"/>
                <w:szCs w:val="28"/>
              </w:rPr>
              <w:t>- участь у здійсненні заходів щодо залучення юридичних радників, у тому числі іноземних, для забезпечення захисту прав та інтересів України в торговельно-економічній сфері в рамках СОТ та міжнародних договорів України;</w:t>
            </w:r>
          </w:p>
          <w:p w:rsidR="00FE314F" w:rsidRPr="00A85EE6" w:rsidRDefault="00FE314F" w:rsidP="00FE314F">
            <w:pPr>
              <w:pStyle w:val="210"/>
              <w:shd w:val="clear" w:color="auto" w:fill="auto"/>
              <w:spacing w:before="0" w:after="0" w:line="240" w:lineRule="auto"/>
              <w:ind w:left="1" w:hanging="3"/>
              <w:rPr>
                <w:lang w:val="uk-UA"/>
              </w:rPr>
            </w:pPr>
            <w:r w:rsidRPr="00A85EE6">
              <w:rPr>
                <w:lang w:val="uk-UA"/>
              </w:rPr>
              <w:t>-</w:t>
            </w:r>
            <w:r w:rsidRPr="00A85EE6">
              <w:t> </w:t>
            </w:r>
            <w:r w:rsidRPr="00A85EE6">
              <w:rPr>
                <w:lang w:val="uk-UA"/>
              </w:rPr>
              <w:t>взаємодія із залученими юридичними радниками, у тому числі в частині здійснення координації роботи щодо підготовки та юридичного супроводження справ, підготовки про</w:t>
            </w:r>
            <w:r w:rsidR="003A70D1">
              <w:rPr>
                <w:lang w:val="uk-UA"/>
              </w:rPr>
              <w:t>е</w:t>
            </w:r>
            <w:r w:rsidRPr="00A85EE6">
              <w:rPr>
                <w:lang w:val="uk-UA"/>
              </w:rPr>
              <w:t>ктів відповідних документів у зв’язку з веденням справ, кореспонденції;</w:t>
            </w:r>
          </w:p>
          <w:p w:rsidR="00FE314F" w:rsidRPr="00A85EE6" w:rsidRDefault="00FE314F" w:rsidP="00FE314F">
            <w:pPr>
              <w:spacing w:line="240" w:lineRule="auto"/>
              <w:ind w:left="1" w:hanging="3"/>
              <w:jc w:val="both"/>
              <w:rPr>
                <w:color w:val="auto"/>
                <w:sz w:val="28"/>
                <w:szCs w:val="28"/>
              </w:rPr>
            </w:pPr>
            <w:r w:rsidRPr="00A85EE6">
              <w:rPr>
                <w:color w:val="auto"/>
                <w:sz w:val="28"/>
                <w:szCs w:val="28"/>
              </w:rPr>
              <w:t>- участь у розробленні та опрацюванні про</w:t>
            </w:r>
            <w:r w:rsidR="003A70D1">
              <w:rPr>
                <w:color w:val="auto"/>
                <w:sz w:val="28"/>
                <w:szCs w:val="28"/>
              </w:rPr>
              <w:t>е</w:t>
            </w:r>
            <w:r w:rsidRPr="00A85EE6">
              <w:rPr>
                <w:color w:val="auto"/>
                <w:sz w:val="28"/>
                <w:szCs w:val="28"/>
              </w:rPr>
              <w:t>ктів нормативно-правових актів, підготовк</w:t>
            </w:r>
            <w:r w:rsidR="00A85EE6" w:rsidRPr="00A85EE6">
              <w:rPr>
                <w:color w:val="auto"/>
                <w:sz w:val="28"/>
                <w:szCs w:val="28"/>
              </w:rPr>
              <w:t>и</w:t>
            </w:r>
            <w:r w:rsidRPr="00A85EE6">
              <w:rPr>
                <w:color w:val="auto"/>
                <w:sz w:val="28"/>
                <w:szCs w:val="28"/>
              </w:rPr>
              <w:t xml:space="preserve"> та участ</w:t>
            </w:r>
            <w:r w:rsidR="00A85EE6" w:rsidRPr="00A85EE6">
              <w:rPr>
                <w:color w:val="auto"/>
                <w:sz w:val="28"/>
                <w:szCs w:val="28"/>
              </w:rPr>
              <w:t>і</w:t>
            </w:r>
            <w:r w:rsidRPr="00A85EE6">
              <w:rPr>
                <w:color w:val="auto"/>
                <w:sz w:val="28"/>
                <w:szCs w:val="28"/>
              </w:rPr>
              <w:t xml:space="preserve"> у підготовці відповідних висновків на предмет впливу реалізації актів на показники економічного і соціального розвитку;</w:t>
            </w:r>
          </w:p>
          <w:p w:rsidR="00FE314F" w:rsidRPr="00A85EE6" w:rsidRDefault="00FE314F" w:rsidP="00FE314F">
            <w:pPr>
              <w:spacing w:line="240" w:lineRule="auto"/>
              <w:ind w:left="1" w:hanging="3"/>
              <w:jc w:val="both"/>
              <w:rPr>
                <w:color w:val="auto"/>
                <w:sz w:val="28"/>
                <w:szCs w:val="28"/>
              </w:rPr>
            </w:pPr>
            <w:r w:rsidRPr="00A85EE6">
              <w:rPr>
                <w:color w:val="auto"/>
                <w:sz w:val="28"/>
                <w:szCs w:val="28"/>
              </w:rPr>
              <w:t>- участь у переговорах та опрацюванні про</w:t>
            </w:r>
            <w:r w:rsidR="003A70D1">
              <w:rPr>
                <w:color w:val="auto"/>
                <w:sz w:val="28"/>
                <w:szCs w:val="28"/>
              </w:rPr>
              <w:t>е</w:t>
            </w:r>
            <w:r w:rsidRPr="00A85EE6">
              <w:rPr>
                <w:color w:val="auto"/>
                <w:sz w:val="28"/>
                <w:szCs w:val="28"/>
              </w:rPr>
              <w:t>ктів міжнародних договорів України з питань використання механізмів урегулювання торговельних суперечок;</w:t>
            </w:r>
          </w:p>
          <w:p w:rsidR="00A85EE6" w:rsidRPr="00A85EE6" w:rsidRDefault="00FE314F" w:rsidP="00FE314F">
            <w:pPr>
              <w:widowControl/>
              <w:pBdr>
                <w:top w:val="nil"/>
                <w:left w:val="nil"/>
                <w:bottom w:val="nil"/>
                <w:right w:val="nil"/>
                <w:between w:val="nil"/>
              </w:pBdr>
              <w:spacing w:line="240" w:lineRule="auto"/>
              <w:ind w:left="1" w:hanging="3"/>
              <w:jc w:val="both"/>
              <w:rPr>
                <w:color w:val="auto"/>
                <w:sz w:val="28"/>
                <w:szCs w:val="28"/>
              </w:rPr>
            </w:pPr>
            <w:r w:rsidRPr="00A85EE6">
              <w:rPr>
                <w:color w:val="auto"/>
                <w:sz w:val="28"/>
                <w:szCs w:val="28"/>
              </w:rPr>
              <w:t>- надання методичної допомоги органам державної влади, структурним підрозділам Мінекономіки, підприємствам, організаціям та установам, незалежно від форм їх власності та господарювання, з питань, що належать до компетенції відділу</w:t>
            </w:r>
            <w:r w:rsidR="00A85EE6" w:rsidRPr="00A85EE6">
              <w:rPr>
                <w:color w:val="auto"/>
                <w:sz w:val="28"/>
                <w:szCs w:val="28"/>
              </w:rPr>
              <w:t>;</w:t>
            </w:r>
          </w:p>
          <w:p w:rsidR="006C3474" w:rsidRPr="003006AD" w:rsidRDefault="00A85EE6" w:rsidP="00FE314F">
            <w:pPr>
              <w:widowControl/>
              <w:pBdr>
                <w:top w:val="nil"/>
                <w:left w:val="nil"/>
                <w:bottom w:val="nil"/>
                <w:right w:val="nil"/>
                <w:between w:val="nil"/>
              </w:pBdr>
              <w:spacing w:line="240" w:lineRule="auto"/>
              <w:ind w:left="1" w:hanging="3"/>
              <w:jc w:val="both"/>
              <w:rPr>
                <w:color w:val="00B050"/>
                <w:sz w:val="28"/>
                <w:szCs w:val="28"/>
              </w:rPr>
            </w:pPr>
            <w:r w:rsidRPr="00A85EE6">
              <w:rPr>
                <w:color w:val="auto"/>
                <w:sz w:val="28"/>
                <w:szCs w:val="28"/>
              </w:rPr>
              <w:t>- здійснення заходів щодо недопущення розголошення та/або використання у будь-який спосіб конфіденційної та іншої інформації з обмеженим доступом, що стала відома у зв’язку з виконанням службових повноважень та посадових обов’язків, крім випадків, передбачених законом</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lastRenderedPageBreak/>
              <w:t>Умови оплати праці</w:t>
            </w:r>
          </w:p>
        </w:tc>
        <w:tc>
          <w:tcPr>
            <w:tcW w:w="10225" w:type="dxa"/>
          </w:tcPr>
          <w:p w:rsidR="00F56C5C" w:rsidRPr="005D5837" w:rsidRDefault="00F56C5C" w:rsidP="00F56C5C">
            <w:pPr>
              <w:widowControl/>
              <w:ind w:left="1" w:hanging="3"/>
              <w:jc w:val="both"/>
              <w:rPr>
                <w:color w:val="auto"/>
                <w:sz w:val="28"/>
                <w:szCs w:val="28"/>
              </w:rPr>
            </w:pPr>
            <w:r w:rsidRPr="005D5837">
              <w:rPr>
                <w:color w:val="auto"/>
                <w:sz w:val="28"/>
                <w:szCs w:val="28"/>
              </w:rPr>
              <w:t xml:space="preserve">посадовий оклад </w:t>
            </w:r>
            <w:r w:rsidRPr="003A70D1">
              <w:rPr>
                <w:color w:val="auto"/>
                <w:sz w:val="28"/>
                <w:szCs w:val="28"/>
              </w:rPr>
              <w:t>– 10 600</w:t>
            </w:r>
            <w:r w:rsidRPr="005D5837">
              <w:rPr>
                <w:color w:val="auto"/>
                <w:sz w:val="28"/>
                <w:szCs w:val="28"/>
              </w:rPr>
              <w:t xml:space="preserve"> грн;</w:t>
            </w:r>
          </w:p>
          <w:p w:rsidR="00F56C5C" w:rsidRPr="005D5837" w:rsidRDefault="00F56C5C" w:rsidP="00F56C5C">
            <w:pPr>
              <w:widowControl/>
              <w:ind w:left="1" w:hanging="3"/>
              <w:jc w:val="both"/>
              <w:rPr>
                <w:color w:val="auto"/>
                <w:sz w:val="28"/>
                <w:szCs w:val="28"/>
              </w:rPr>
            </w:pPr>
            <w:r w:rsidRPr="005D5837">
              <w:rPr>
                <w:color w:val="auto"/>
                <w:sz w:val="28"/>
                <w:szCs w:val="28"/>
              </w:rPr>
              <w:t>надбавки, доплати, премії та компенсації відповідно до статті 52 Закону України «Про державну службу»;</w:t>
            </w:r>
          </w:p>
          <w:p w:rsidR="00F56C5C" w:rsidRPr="005D5837" w:rsidRDefault="00F56C5C" w:rsidP="00F56C5C">
            <w:pPr>
              <w:widowControl/>
              <w:ind w:left="1" w:hanging="3"/>
              <w:jc w:val="both"/>
              <w:rPr>
                <w:color w:val="auto"/>
                <w:sz w:val="28"/>
                <w:szCs w:val="28"/>
              </w:rPr>
            </w:pPr>
            <w:r w:rsidRPr="005D5837">
              <w:rPr>
                <w:color w:val="auto"/>
                <w:sz w:val="28"/>
                <w:szCs w:val="28"/>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Default="00F56C5C" w:rsidP="00F56C5C">
            <w:pPr>
              <w:widowControl/>
              <w:ind w:left="1" w:hanging="3"/>
              <w:rPr>
                <w:sz w:val="28"/>
                <w:szCs w:val="28"/>
              </w:rPr>
            </w:pPr>
            <w:r>
              <w:rPr>
                <w:sz w:val="28"/>
                <w:szCs w:val="28"/>
              </w:rPr>
              <w:lastRenderedPageBreak/>
              <w:t>Інформація про строковість чи безстроковість призначення на посаду</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r w:rsidRPr="003A70D1">
              <w:rPr>
                <w:sz w:val="28"/>
                <w:szCs w:val="28"/>
              </w:rPr>
              <w:t>безстроково;</w:t>
            </w:r>
          </w:p>
          <w:p w:rsidR="00F56C5C" w:rsidRDefault="00175179" w:rsidP="00F56C5C">
            <w:pPr>
              <w:widowControl/>
              <w:ind w:left="0" w:hanging="2"/>
              <w:jc w:val="both"/>
              <w:rPr>
                <w:sz w:val="28"/>
                <w:szCs w:val="28"/>
              </w:rPr>
            </w:pPr>
            <w:hyperlink r:id="rId8">
              <w:r w:rsidR="00F56C5C">
                <w:rPr>
                  <w:sz w:val="28"/>
                  <w:szCs w:val="28"/>
                  <w:highlight w:val="white"/>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Перелік інформації, необхідної для участі в конкурсі, та строк її подання</w:t>
            </w:r>
          </w:p>
        </w:tc>
        <w:tc>
          <w:tcPr>
            <w:tcW w:w="10225" w:type="dxa"/>
            <w:tcBorders>
              <w:top w:val="single" w:sz="4" w:space="0" w:color="000000"/>
              <w:left w:val="single" w:sz="4" w:space="0" w:color="000000"/>
              <w:bottom w:val="single" w:sz="4" w:space="0" w:color="000000"/>
              <w:right w:val="single" w:sz="4" w:space="0" w:color="000000"/>
            </w:tcBorders>
          </w:tcPr>
          <w:p w:rsidR="009372E8" w:rsidRDefault="009372E8" w:rsidP="009372E8">
            <w:pPr>
              <w:widowControl/>
              <w:ind w:left="1" w:hanging="3"/>
              <w:jc w:val="both"/>
              <w:rPr>
                <w:sz w:val="28"/>
                <w:szCs w:val="28"/>
              </w:rPr>
            </w:pPr>
            <w:r>
              <w:rPr>
                <w:sz w:val="28"/>
                <w:szCs w:val="28"/>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p>
          <w:p w:rsidR="009372E8" w:rsidRDefault="009372E8" w:rsidP="009372E8">
            <w:pPr>
              <w:widowControl/>
              <w:ind w:left="1" w:hanging="3"/>
              <w:jc w:val="both"/>
              <w:rPr>
                <w:sz w:val="28"/>
                <w:szCs w:val="28"/>
              </w:rPr>
            </w:pPr>
            <w:r>
              <w:rPr>
                <w:sz w:val="28"/>
                <w:szCs w:val="28"/>
              </w:rPr>
              <w:t>2) резюме за формою згідно з додатком 2</w:t>
            </w:r>
            <w:r>
              <w:rPr>
                <w:sz w:val="28"/>
                <w:szCs w:val="28"/>
                <w:vertAlign w:val="superscript"/>
              </w:rPr>
              <w:t>1</w:t>
            </w:r>
            <w:r>
              <w:rPr>
                <w:sz w:val="28"/>
                <w:szCs w:val="28"/>
              </w:rPr>
              <w:t>, в якому обов’язково зазначається така інформація:</w:t>
            </w:r>
          </w:p>
          <w:p w:rsidR="009372E8" w:rsidRDefault="009372E8" w:rsidP="009372E8">
            <w:pPr>
              <w:widowControl/>
              <w:ind w:left="1" w:hanging="3"/>
              <w:jc w:val="both"/>
              <w:rPr>
                <w:sz w:val="28"/>
                <w:szCs w:val="28"/>
              </w:rPr>
            </w:pPr>
            <w:r>
              <w:rPr>
                <w:sz w:val="28"/>
                <w:szCs w:val="28"/>
              </w:rPr>
              <w:t>прізвище, ім’я, по батькові кандидата;</w:t>
            </w:r>
          </w:p>
          <w:p w:rsidR="009372E8" w:rsidRDefault="009372E8" w:rsidP="009372E8">
            <w:pPr>
              <w:widowControl/>
              <w:ind w:left="1" w:hanging="3"/>
              <w:jc w:val="both"/>
              <w:rPr>
                <w:sz w:val="28"/>
                <w:szCs w:val="28"/>
              </w:rPr>
            </w:pPr>
            <w:r>
              <w:rPr>
                <w:sz w:val="28"/>
                <w:szCs w:val="28"/>
              </w:rPr>
              <w:t>реквізити документа, що посвідчує особу та підтверджує громадянство України;</w:t>
            </w:r>
          </w:p>
          <w:p w:rsidR="009372E8" w:rsidRDefault="009372E8" w:rsidP="009372E8">
            <w:pPr>
              <w:widowControl/>
              <w:ind w:left="1" w:hanging="3"/>
              <w:jc w:val="both"/>
              <w:rPr>
                <w:sz w:val="28"/>
                <w:szCs w:val="28"/>
              </w:rPr>
            </w:pPr>
            <w:r>
              <w:rPr>
                <w:sz w:val="28"/>
                <w:szCs w:val="28"/>
              </w:rPr>
              <w:t>підтвердження наявності відповідного ступеня вищої освіти;</w:t>
            </w:r>
          </w:p>
          <w:p w:rsidR="009372E8" w:rsidRDefault="009372E8" w:rsidP="009372E8">
            <w:pPr>
              <w:widowControl/>
              <w:shd w:val="clear" w:color="auto" w:fill="FFFFFF"/>
              <w:ind w:left="1" w:hanging="3"/>
              <w:jc w:val="both"/>
              <w:rPr>
                <w:sz w:val="28"/>
                <w:szCs w:val="28"/>
              </w:rPr>
            </w:pPr>
            <w:r>
              <w:rPr>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9372E8" w:rsidRDefault="009372E8" w:rsidP="009372E8">
            <w:pPr>
              <w:widowControl/>
              <w:ind w:left="1" w:hanging="3"/>
              <w:jc w:val="both"/>
              <w:rPr>
                <w:sz w:val="28"/>
                <w:szCs w:val="28"/>
              </w:rPr>
            </w:pPr>
            <w:r>
              <w:rPr>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372E8" w:rsidRDefault="009372E8" w:rsidP="009372E8">
            <w:pPr>
              <w:widowControl/>
              <w:ind w:left="1" w:hanging="3"/>
              <w:jc w:val="both"/>
              <w:rPr>
                <w:sz w:val="28"/>
                <w:szCs w:val="28"/>
              </w:rPr>
            </w:pPr>
            <w:r>
              <w:rPr>
                <w:sz w:val="28"/>
                <w:szCs w:val="28"/>
              </w:rPr>
              <w:t>Подача додатків до заяви не є обов’язковою;</w:t>
            </w:r>
          </w:p>
          <w:p w:rsidR="009372E8" w:rsidRDefault="009372E8" w:rsidP="009372E8">
            <w:pPr>
              <w:widowControl/>
              <w:ind w:left="1" w:hanging="3"/>
              <w:jc w:val="both"/>
              <w:rPr>
                <w:sz w:val="28"/>
                <w:szCs w:val="28"/>
              </w:rPr>
            </w:pPr>
            <w:r>
              <w:rPr>
                <w:sz w:val="28"/>
                <w:szCs w:val="28"/>
              </w:rPr>
              <w:t>3</w:t>
            </w:r>
            <w:r>
              <w:rPr>
                <w:sz w:val="28"/>
                <w:szCs w:val="28"/>
                <w:vertAlign w:val="superscript"/>
              </w:rPr>
              <w:t>1</w:t>
            </w:r>
            <w:r>
              <w:rPr>
                <w:sz w:val="28"/>
                <w:szCs w:val="28"/>
              </w:rPr>
              <w:t xml:space="preserve">) </w:t>
            </w:r>
            <w:r w:rsidRPr="007D2E0C">
              <w:rPr>
                <w:sz w:val="28"/>
                <w:szCs w:val="28"/>
              </w:rPr>
              <w:t>копі</w:t>
            </w:r>
            <w:r>
              <w:rPr>
                <w:sz w:val="28"/>
                <w:szCs w:val="28"/>
              </w:rPr>
              <w:t>я</w:t>
            </w:r>
            <w:r w:rsidRPr="007D2E0C">
              <w:rPr>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8"/>
                <w:szCs w:val="28"/>
              </w:rPr>
              <w:t>.</w:t>
            </w:r>
          </w:p>
          <w:p w:rsidR="009372E8" w:rsidRPr="00CC65B7" w:rsidRDefault="009372E8" w:rsidP="009372E8">
            <w:pPr>
              <w:widowControl/>
              <w:ind w:left="1" w:hanging="3"/>
              <w:jc w:val="both"/>
              <w:rPr>
                <w:sz w:val="28"/>
                <w:szCs w:val="28"/>
              </w:rPr>
            </w:pPr>
            <w:r w:rsidRPr="00064668">
              <w:rPr>
                <w:sz w:val="28"/>
                <w:szCs w:val="28"/>
              </w:rPr>
              <w:t>Державні службовці державного органу, в якому проводиться конкурс, які бажають взяти участь у конкурсі, подають лише заяву про участь у конкурсі</w:t>
            </w:r>
            <w:r>
              <w:rPr>
                <w:sz w:val="28"/>
                <w:szCs w:val="28"/>
              </w:rPr>
              <w:t xml:space="preserve"> (додаток резюме встановленої форми)</w:t>
            </w:r>
            <w:r w:rsidRPr="00064668">
              <w:rPr>
                <w:sz w:val="28"/>
                <w:szCs w:val="28"/>
              </w:rPr>
              <w:t>.</w:t>
            </w:r>
          </w:p>
          <w:p w:rsidR="00F56C5C" w:rsidRPr="003A029C" w:rsidRDefault="00F56C5C" w:rsidP="00F56C5C">
            <w:pPr>
              <w:widowControl/>
              <w:ind w:left="1" w:hanging="3"/>
              <w:jc w:val="both"/>
              <w:rPr>
                <w:color w:val="auto"/>
                <w:sz w:val="28"/>
                <w:szCs w:val="28"/>
              </w:rPr>
            </w:pPr>
            <w:r w:rsidRPr="003A029C">
              <w:rPr>
                <w:color w:val="auto"/>
                <w:sz w:val="28"/>
                <w:szCs w:val="28"/>
              </w:rPr>
              <w:t xml:space="preserve">  Інформація приймається до 1</w:t>
            </w:r>
            <w:r w:rsidR="00BE1F20">
              <w:rPr>
                <w:color w:val="auto"/>
                <w:sz w:val="28"/>
                <w:szCs w:val="28"/>
              </w:rPr>
              <w:t>7</w:t>
            </w:r>
            <w:r w:rsidRPr="003A029C">
              <w:rPr>
                <w:color w:val="auto"/>
                <w:sz w:val="28"/>
                <w:szCs w:val="28"/>
              </w:rPr>
              <w:t xml:space="preserve"> год. </w:t>
            </w:r>
            <w:r w:rsidR="00BE1F20">
              <w:rPr>
                <w:color w:val="auto"/>
                <w:sz w:val="28"/>
                <w:szCs w:val="28"/>
              </w:rPr>
              <w:t>00</w:t>
            </w:r>
            <w:r w:rsidRPr="003A029C">
              <w:rPr>
                <w:color w:val="auto"/>
                <w:sz w:val="28"/>
                <w:szCs w:val="28"/>
              </w:rPr>
              <w:t xml:space="preserve"> хв. </w:t>
            </w:r>
            <w:r w:rsidR="00BE1F20">
              <w:rPr>
                <w:color w:val="auto"/>
                <w:sz w:val="28"/>
                <w:szCs w:val="28"/>
              </w:rPr>
              <w:t>09</w:t>
            </w:r>
            <w:r w:rsidRPr="003A029C">
              <w:rPr>
                <w:color w:val="auto"/>
                <w:sz w:val="28"/>
                <w:szCs w:val="28"/>
              </w:rPr>
              <w:t xml:space="preserve"> </w:t>
            </w:r>
            <w:r w:rsidR="00BE1F20">
              <w:rPr>
                <w:color w:val="auto"/>
                <w:sz w:val="28"/>
                <w:szCs w:val="28"/>
              </w:rPr>
              <w:t>верес</w:t>
            </w:r>
            <w:r w:rsidR="00F0671E">
              <w:rPr>
                <w:color w:val="auto"/>
                <w:sz w:val="28"/>
                <w:szCs w:val="28"/>
              </w:rPr>
              <w:t>ня</w:t>
            </w:r>
            <w:r w:rsidRPr="003A029C">
              <w:rPr>
                <w:color w:val="auto"/>
                <w:sz w:val="28"/>
                <w:szCs w:val="28"/>
              </w:rPr>
              <w:t xml:space="preserve"> 2021 року.</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Додаткові (необов’язкові) документи</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56C5C" w:rsidTr="002765F3">
        <w:trPr>
          <w:trHeight w:val="4411"/>
        </w:trPr>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Pr="00CF76A6" w:rsidRDefault="00F56C5C" w:rsidP="00F56C5C">
            <w:pPr>
              <w:widowControl/>
              <w:ind w:leftChars="0" w:left="0" w:firstLineChars="0" w:firstLine="0"/>
              <w:rPr>
                <w:color w:val="auto"/>
                <w:sz w:val="28"/>
                <w:szCs w:val="28"/>
              </w:rPr>
            </w:pPr>
            <w:r w:rsidRPr="00CF76A6">
              <w:rPr>
                <w:color w:val="auto"/>
                <w:sz w:val="28"/>
                <w:szCs w:val="28"/>
              </w:rPr>
              <w:lastRenderedPageBreak/>
              <w:t>Дата і час початку проведення тестування кандидатів.</w:t>
            </w:r>
          </w:p>
          <w:p w:rsidR="00F56C5C" w:rsidRPr="00CF76A6" w:rsidRDefault="00F56C5C" w:rsidP="00F56C5C">
            <w:pPr>
              <w:widowControl/>
              <w:ind w:left="1" w:hanging="3"/>
              <w:rPr>
                <w:color w:val="auto"/>
                <w:sz w:val="28"/>
                <w:szCs w:val="28"/>
              </w:rPr>
            </w:pPr>
            <w:r w:rsidRPr="00CF76A6">
              <w:rPr>
                <w:color w:val="auto"/>
                <w:sz w:val="28"/>
                <w:szCs w:val="28"/>
              </w:rPr>
              <w:t>Місце або спосіб проведення тестування.</w:t>
            </w:r>
          </w:p>
          <w:p w:rsidR="00F56C5C" w:rsidRPr="00CF76A6" w:rsidRDefault="00F56C5C" w:rsidP="00F56C5C">
            <w:pPr>
              <w:widowControl/>
              <w:ind w:left="1" w:hanging="3"/>
              <w:rPr>
                <w:color w:val="auto"/>
                <w:sz w:val="28"/>
                <w:szCs w:val="28"/>
              </w:rPr>
            </w:pPr>
          </w:p>
          <w:p w:rsidR="00F56C5C" w:rsidRPr="00CF76A6" w:rsidRDefault="00F56C5C" w:rsidP="00F56C5C">
            <w:pPr>
              <w:widowControl/>
              <w:ind w:left="1" w:hanging="3"/>
              <w:rPr>
                <w:color w:val="auto"/>
                <w:sz w:val="28"/>
                <w:szCs w:val="28"/>
              </w:rPr>
            </w:pPr>
          </w:p>
          <w:p w:rsidR="00F56C5C" w:rsidRPr="00CF76A6" w:rsidRDefault="00F56C5C" w:rsidP="00F56C5C">
            <w:pPr>
              <w:widowControl/>
              <w:ind w:left="1" w:hanging="3"/>
              <w:rPr>
                <w:color w:val="auto"/>
                <w:sz w:val="28"/>
                <w:szCs w:val="28"/>
              </w:rPr>
            </w:pPr>
            <w:r w:rsidRPr="00CF76A6">
              <w:rPr>
                <w:color w:val="auto"/>
                <w:sz w:val="28"/>
                <w:szCs w:val="28"/>
              </w:rPr>
              <w:t xml:space="preserve">Місце або спосіб проведення співбесіди (із зазначенням електронної платформи для комунікації дистанційно). </w:t>
            </w:r>
          </w:p>
          <w:p w:rsidR="00F56C5C" w:rsidRPr="00CF76A6" w:rsidRDefault="00F56C5C" w:rsidP="00F56C5C">
            <w:pPr>
              <w:widowControl/>
              <w:ind w:left="1" w:hanging="3"/>
              <w:rPr>
                <w:color w:val="auto"/>
                <w:sz w:val="28"/>
                <w:szCs w:val="28"/>
              </w:rPr>
            </w:pPr>
            <w:r w:rsidRPr="00CF76A6">
              <w:rPr>
                <w:color w:val="auto"/>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25" w:type="dxa"/>
            <w:tcBorders>
              <w:top w:val="single" w:sz="4" w:space="0" w:color="000000"/>
              <w:left w:val="single" w:sz="4" w:space="0" w:color="000000"/>
              <w:bottom w:val="single" w:sz="4" w:space="0" w:color="000000"/>
              <w:right w:val="single" w:sz="4" w:space="0" w:color="000000"/>
            </w:tcBorders>
          </w:tcPr>
          <w:p w:rsidR="00F56C5C" w:rsidRPr="00CF76A6" w:rsidRDefault="00BE1F20" w:rsidP="00F56C5C">
            <w:pPr>
              <w:widowControl/>
              <w:ind w:left="1" w:right="-4" w:hanging="3"/>
              <w:jc w:val="both"/>
              <w:rPr>
                <w:color w:val="auto"/>
                <w:sz w:val="28"/>
                <w:szCs w:val="28"/>
                <w:highlight w:val="white"/>
              </w:rPr>
            </w:pPr>
            <w:r>
              <w:rPr>
                <w:color w:val="auto"/>
                <w:sz w:val="28"/>
                <w:szCs w:val="28"/>
                <w:highlight w:val="white"/>
              </w:rPr>
              <w:t>15</w:t>
            </w:r>
            <w:r w:rsidR="00F56C5C" w:rsidRPr="00CF76A6">
              <w:rPr>
                <w:color w:val="auto"/>
                <w:sz w:val="28"/>
                <w:szCs w:val="28"/>
                <w:highlight w:val="white"/>
              </w:rPr>
              <w:t xml:space="preserve"> </w:t>
            </w:r>
            <w:r w:rsidR="00E07BD0">
              <w:rPr>
                <w:color w:val="auto"/>
                <w:sz w:val="28"/>
                <w:szCs w:val="28"/>
                <w:highlight w:val="white"/>
              </w:rPr>
              <w:t>вересня</w:t>
            </w:r>
            <w:r w:rsidR="00F56C5C" w:rsidRPr="00CF76A6">
              <w:rPr>
                <w:color w:val="auto"/>
                <w:sz w:val="28"/>
                <w:szCs w:val="28"/>
                <w:highlight w:val="white"/>
              </w:rPr>
              <w:t xml:space="preserve"> 2021 року з 10 год. 00 хв. до 15 год. 00 хв.</w:t>
            </w:r>
          </w:p>
          <w:p w:rsidR="00F56C5C" w:rsidRPr="00CF76A6" w:rsidRDefault="00F56C5C" w:rsidP="00F56C5C">
            <w:pPr>
              <w:widowControl/>
              <w:ind w:left="1" w:right="-4" w:hanging="3"/>
              <w:jc w:val="both"/>
              <w:rPr>
                <w:color w:val="auto"/>
                <w:sz w:val="28"/>
                <w:szCs w:val="28"/>
                <w:highlight w:val="white"/>
              </w:rPr>
            </w:pPr>
          </w:p>
          <w:p w:rsidR="00F56C5C" w:rsidRPr="00CF76A6" w:rsidRDefault="00F56C5C" w:rsidP="00F56C5C">
            <w:pPr>
              <w:widowControl/>
              <w:ind w:left="1" w:right="-4" w:hanging="3"/>
              <w:jc w:val="both"/>
              <w:rPr>
                <w:color w:val="auto"/>
                <w:sz w:val="28"/>
                <w:szCs w:val="28"/>
                <w:highlight w:val="white"/>
              </w:rPr>
            </w:pPr>
            <w:r w:rsidRPr="00CF76A6">
              <w:rPr>
                <w:color w:val="auto"/>
                <w:sz w:val="28"/>
                <w:szCs w:val="28"/>
                <w:highlight w:val="white"/>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56C5C" w:rsidRPr="00CF76A6" w:rsidRDefault="00F56C5C" w:rsidP="00F56C5C">
            <w:pPr>
              <w:widowControl/>
              <w:ind w:left="1" w:right="-4" w:hanging="3"/>
              <w:jc w:val="both"/>
              <w:rPr>
                <w:color w:val="auto"/>
                <w:sz w:val="28"/>
                <w:szCs w:val="28"/>
                <w:highlight w:val="white"/>
              </w:rPr>
            </w:pPr>
            <w:r w:rsidRPr="00CF76A6">
              <w:rPr>
                <w:color w:val="auto"/>
                <w:sz w:val="28"/>
                <w:szCs w:val="28"/>
                <w:highlight w:val="white"/>
              </w:rPr>
              <w:t xml:space="preserve">Проведення співбесіди дистанційно. Платформа </w:t>
            </w:r>
            <w:proofErr w:type="spellStart"/>
            <w:r w:rsidRPr="00CF76A6">
              <w:rPr>
                <w:color w:val="auto"/>
                <w:sz w:val="28"/>
                <w:szCs w:val="28"/>
                <w:highlight w:val="white"/>
              </w:rPr>
              <w:t>Cisco</w:t>
            </w:r>
            <w:proofErr w:type="spellEnd"/>
            <w:r w:rsidRPr="00CF76A6">
              <w:rPr>
                <w:color w:val="auto"/>
                <w:sz w:val="28"/>
                <w:szCs w:val="28"/>
                <w:highlight w:val="white"/>
              </w:rPr>
              <w:t xml:space="preserve"> </w:t>
            </w:r>
            <w:proofErr w:type="spellStart"/>
            <w:r w:rsidRPr="00CF76A6">
              <w:rPr>
                <w:color w:val="auto"/>
                <w:sz w:val="28"/>
                <w:szCs w:val="28"/>
                <w:highlight w:val="white"/>
              </w:rPr>
              <w:t>Webex</w:t>
            </w:r>
            <w:proofErr w:type="spellEnd"/>
            <w:r w:rsidRPr="00CF76A6">
              <w:rPr>
                <w:color w:val="auto"/>
                <w:sz w:val="28"/>
                <w:szCs w:val="28"/>
                <w:highlight w:val="white"/>
              </w:rPr>
              <w:t xml:space="preserve"> (про час та дату проведення співбесіди кандидатів буде повідомлено додатково).</w:t>
            </w:r>
          </w:p>
          <w:p w:rsidR="00F56C5C" w:rsidRPr="00CF76A6" w:rsidRDefault="00F56C5C" w:rsidP="00F56C5C">
            <w:pPr>
              <w:widowControl/>
              <w:ind w:left="1" w:right="-4" w:hanging="3"/>
              <w:jc w:val="both"/>
              <w:rPr>
                <w:color w:val="auto"/>
                <w:sz w:val="28"/>
                <w:szCs w:val="28"/>
                <w:highlight w:val="white"/>
              </w:rPr>
            </w:pPr>
          </w:p>
          <w:p w:rsidR="00F56C5C" w:rsidRPr="00CF76A6" w:rsidRDefault="00CE6EE3" w:rsidP="00F56C5C">
            <w:pPr>
              <w:widowControl/>
              <w:ind w:left="1" w:hanging="3"/>
              <w:rPr>
                <w:color w:val="auto"/>
                <w:sz w:val="28"/>
                <w:szCs w:val="28"/>
              </w:rPr>
            </w:pPr>
            <w:r w:rsidRPr="00CE6EE3">
              <w:rPr>
                <w:color w:val="auto"/>
                <w:sz w:val="28"/>
                <w:szCs w:val="28"/>
              </w:rPr>
              <w:t>м. Київ, вул. Грушевського, 12/2 (про час та дату проведення співбесіди кандидатів буде повідомлено додатково)</w:t>
            </w:r>
            <w:bookmarkStart w:id="1" w:name="_GoBack"/>
            <w:bookmarkEnd w:id="1"/>
          </w:p>
        </w:tc>
      </w:tr>
      <w:tr w:rsidR="00F56C5C">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Default="00F56C5C" w:rsidP="00F56C5C">
            <w:pPr>
              <w:widowControl/>
              <w:ind w:left="1" w:hanging="3"/>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proofErr w:type="spellStart"/>
            <w:r>
              <w:rPr>
                <w:sz w:val="28"/>
                <w:szCs w:val="28"/>
              </w:rPr>
              <w:t>Леваднюк</w:t>
            </w:r>
            <w:proofErr w:type="spellEnd"/>
            <w:r>
              <w:rPr>
                <w:sz w:val="28"/>
                <w:szCs w:val="28"/>
              </w:rPr>
              <w:t xml:space="preserve"> Ірина Василівна, (044) 200-47-52, ilevadnyuk@me.gov.ua;</w:t>
            </w:r>
          </w:p>
          <w:p w:rsidR="00F56C5C" w:rsidRPr="00067C0E" w:rsidRDefault="00F56C5C" w:rsidP="00F56C5C">
            <w:pPr>
              <w:widowControl/>
              <w:ind w:left="1" w:hanging="3"/>
              <w:jc w:val="both"/>
              <w:rPr>
                <w:color w:val="auto"/>
                <w:sz w:val="28"/>
                <w:szCs w:val="28"/>
              </w:rPr>
            </w:pPr>
            <w:r w:rsidRPr="00067C0E">
              <w:rPr>
                <w:color w:val="auto"/>
                <w:sz w:val="28"/>
                <w:szCs w:val="28"/>
              </w:rPr>
              <w:t>Кашуба Наталія Анатоліївна, (0</w:t>
            </w:r>
            <w:r w:rsidR="00451EF6" w:rsidRPr="00067C0E">
              <w:rPr>
                <w:color w:val="auto"/>
                <w:sz w:val="28"/>
                <w:szCs w:val="28"/>
              </w:rPr>
              <w:t>44</w:t>
            </w:r>
            <w:r w:rsidRPr="00067C0E">
              <w:rPr>
                <w:color w:val="auto"/>
                <w:sz w:val="28"/>
                <w:szCs w:val="28"/>
              </w:rPr>
              <w:t xml:space="preserve">) </w:t>
            </w:r>
            <w:r w:rsidR="00451EF6" w:rsidRPr="00067C0E">
              <w:rPr>
                <w:color w:val="auto"/>
                <w:sz w:val="28"/>
                <w:szCs w:val="28"/>
              </w:rPr>
              <w:t>200</w:t>
            </w:r>
            <w:r w:rsidRPr="00067C0E">
              <w:rPr>
                <w:color w:val="auto"/>
                <w:sz w:val="28"/>
                <w:szCs w:val="28"/>
              </w:rPr>
              <w:t>-</w:t>
            </w:r>
            <w:r w:rsidR="00451EF6" w:rsidRPr="00067C0E">
              <w:rPr>
                <w:color w:val="auto"/>
                <w:sz w:val="28"/>
                <w:szCs w:val="28"/>
              </w:rPr>
              <w:t>47</w:t>
            </w:r>
            <w:r w:rsidRPr="00067C0E">
              <w:rPr>
                <w:color w:val="auto"/>
                <w:sz w:val="28"/>
                <w:szCs w:val="28"/>
              </w:rPr>
              <w:t>-5</w:t>
            </w:r>
            <w:r w:rsidR="00451EF6" w:rsidRPr="00067C0E">
              <w:rPr>
                <w:color w:val="auto"/>
                <w:sz w:val="28"/>
                <w:szCs w:val="28"/>
              </w:rPr>
              <w:t>2</w:t>
            </w:r>
            <w:r w:rsidRPr="00067C0E">
              <w:rPr>
                <w:color w:val="auto"/>
                <w:sz w:val="28"/>
                <w:szCs w:val="28"/>
              </w:rPr>
              <w:t>, nkashuba@me.gov.ua</w:t>
            </w:r>
          </w:p>
          <w:p w:rsidR="00F56C5C" w:rsidRDefault="00F56C5C" w:rsidP="00F56C5C">
            <w:pPr>
              <w:widowControl/>
              <w:ind w:left="1" w:hanging="3"/>
              <w:jc w:val="both"/>
              <w:rPr>
                <w:sz w:val="28"/>
                <w:szCs w:val="28"/>
              </w:rPr>
            </w:pPr>
          </w:p>
        </w:tc>
      </w:tr>
      <w:tr w:rsidR="00F56C5C">
        <w:tc>
          <w:tcPr>
            <w:tcW w:w="15323" w:type="dxa"/>
            <w:gridSpan w:val="3"/>
          </w:tcPr>
          <w:p w:rsidR="00F56C5C" w:rsidRDefault="00F56C5C" w:rsidP="00F56C5C">
            <w:pPr>
              <w:widowControl/>
              <w:ind w:left="1" w:hanging="3"/>
              <w:jc w:val="center"/>
              <w:rPr>
                <w:sz w:val="28"/>
                <w:szCs w:val="28"/>
              </w:rPr>
            </w:pPr>
            <w:r>
              <w:rPr>
                <w:sz w:val="28"/>
                <w:szCs w:val="28"/>
              </w:rPr>
              <w:t>Кваліфікаційні вимоги</w:t>
            </w:r>
          </w:p>
        </w:tc>
      </w:tr>
      <w:tr w:rsidR="00F56C5C" w:rsidTr="00067C0E">
        <w:trPr>
          <w:trHeight w:val="317"/>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1.</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Освіта</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ступінь вищої освіти не нижче бакалавра, молодшого бакалавра</w:t>
            </w:r>
          </w:p>
        </w:tc>
      </w:tr>
      <w:tr w:rsidR="00F56C5C" w:rsidTr="00067C0E">
        <w:trPr>
          <w:trHeight w:val="237"/>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4"/>
                <w:szCs w:val="24"/>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right="268" w:hanging="3"/>
              <w:rPr>
                <w:sz w:val="28"/>
                <w:szCs w:val="28"/>
              </w:rPr>
            </w:pPr>
            <w:r>
              <w:rPr>
                <w:sz w:val="28"/>
                <w:szCs w:val="28"/>
              </w:rPr>
              <w:t>Досвід роботи</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не потребує</w:t>
            </w:r>
          </w:p>
        </w:tc>
      </w:tr>
      <w:tr w:rsidR="00F56C5C" w:rsidTr="00067C0E">
        <w:trPr>
          <w:trHeight w:val="298"/>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3.</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Володіння державною мовою</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вільне володіння державною мовою</w:t>
            </w:r>
          </w:p>
        </w:tc>
      </w:tr>
      <w:tr w:rsidR="00F56C5C">
        <w:tc>
          <w:tcPr>
            <w:tcW w:w="15323" w:type="dxa"/>
            <w:gridSpan w:val="3"/>
          </w:tcPr>
          <w:p w:rsidR="00F56C5C" w:rsidRDefault="00F56C5C" w:rsidP="00451EF6">
            <w:pPr>
              <w:widowControl/>
              <w:ind w:leftChars="0" w:left="0" w:firstLineChars="0" w:firstLine="0"/>
              <w:jc w:val="center"/>
              <w:rPr>
                <w:sz w:val="28"/>
                <w:szCs w:val="28"/>
              </w:rPr>
            </w:pPr>
            <w:r>
              <w:rPr>
                <w:sz w:val="28"/>
                <w:szCs w:val="28"/>
              </w:rPr>
              <w:t>Вимоги до компетентності</w:t>
            </w:r>
          </w:p>
        </w:tc>
      </w:tr>
      <w:tr w:rsidR="00F56C5C">
        <w:trPr>
          <w:trHeight w:val="242"/>
        </w:trPr>
        <w:tc>
          <w:tcPr>
            <w:tcW w:w="5098" w:type="dxa"/>
            <w:gridSpan w:val="2"/>
            <w:tcBorders>
              <w:top w:val="single" w:sz="4" w:space="0" w:color="000000"/>
              <w:left w:val="single" w:sz="4" w:space="0" w:color="000000"/>
              <w:bottom w:val="single" w:sz="4" w:space="0" w:color="000000"/>
              <w:right w:val="single" w:sz="6" w:space="0" w:color="000000"/>
            </w:tcBorders>
          </w:tcPr>
          <w:p w:rsidR="00F56C5C" w:rsidRDefault="00F56C5C" w:rsidP="00F56C5C">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center"/>
              <w:rPr>
                <w:sz w:val="28"/>
                <w:szCs w:val="28"/>
              </w:rPr>
            </w:pPr>
            <w:r>
              <w:rPr>
                <w:sz w:val="28"/>
                <w:szCs w:val="28"/>
              </w:rPr>
              <w:t>Компоненти вимоги</w:t>
            </w:r>
          </w:p>
        </w:tc>
      </w:tr>
      <w:tr w:rsidR="00F56C5C">
        <w:trPr>
          <w:trHeight w:val="1986"/>
        </w:trPr>
        <w:tc>
          <w:tcPr>
            <w:tcW w:w="936" w:type="dxa"/>
          </w:tcPr>
          <w:p w:rsidR="00F56C5C" w:rsidRDefault="00F56C5C" w:rsidP="00F56C5C">
            <w:pPr>
              <w:widowControl/>
              <w:ind w:left="1" w:hanging="3"/>
              <w:rPr>
                <w:sz w:val="28"/>
                <w:szCs w:val="28"/>
              </w:rPr>
            </w:pPr>
            <w:r>
              <w:rPr>
                <w:sz w:val="28"/>
                <w:szCs w:val="28"/>
              </w:rPr>
              <w:t>1.</w:t>
            </w:r>
          </w:p>
        </w:tc>
        <w:tc>
          <w:tcPr>
            <w:tcW w:w="4162" w:type="dxa"/>
          </w:tcPr>
          <w:p w:rsidR="00F56C5C" w:rsidRDefault="00F56C5C" w:rsidP="00F56C5C">
            <w:pPr>
              <w:ind w:left="1" w:hanging="3"/>
              <w:jc w:val="both"/>
              <w:rPr>
                <w:sz w:val="28"/>
                <w:szCs w:val="28"/>
              </w:rPr>
            </w:pPr>
            <w:r>
              <w:rPr>
                <w:sz w:val="28"/>
                <w:szCs w:val="28"/>
              </w:rPr>
              <w:t>Аналітичні здібності</w:t>
            </w:r>
          </w:p>
        </w:tc>
        <w:tc>
          <w:tcPr>
            <w:tcW w:w="10225" w:type="dxa"/>
          </w:tcPr>
          <w:p w:rsidR="00F56C5C" w:rsidRDefault="00F56C5C" w:rsidP="00F56C5C">
            <w:pPr>
              <w:widowControl/>
              <w:ind w:left="1" w:hanging="3"/>
              <w:jc w:val="both"/>
              <w:rPr>
                <w:sz w:val="28"/>
                <w:szCs w:val="28"/>
              </w:rPr>
            </w:pPr>
            <w:r>
              <w:rPr>
                <w:sz w:val="28"/>
                <w:szCs w:val="28"/>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F56C5C" w:rsidRDefault="00F56C5C" w:rsidP="00F56C5C">
            <w:pPr>
              <w:widowControl/>
              <w:ind w:left="1" w:hanging="3"/>
              <w:jc w:val="both"/>
              <w:rPr>
                <w:sz w:val="28"/>
                <w:szCs w:val="28"/>
              </w:rPr>
            </w:pPr>
            <w:r>
              <w:rPr>
                <w:sz w:val="28"/>
                <w:szCs w:val="28"/>
              </w:rPr>
              <w:t>- вміння встановлювати причинно-наслідкові зв'язки;</w:t>
            </w:r>
          </w:p>
          <w:p w:rsidR="00F56C5C" w:rsidRDefault="00F56C5C" w:rsidP="00F56C5C">
            <w:pPr>
              <w:widowControl/>
              <w:ind w:left="1" w:hanging="3"/>
              <w:jc w:val="both"/>
              <w:rPr>
                <w:sz w:val="28"/>
                <w:szCs w:val="28"/>
              </w:rPr>
            </w:pPr>
            <w:r>
              <w:rPr>
                <w:sz w:val="28"/>
                <w:szCs w:val="28"/>
              </w:rPr>
              <w:t xml:space="preserve">- вміння аналізувати інформацію та робити висновки, критично оцінювати ситуації, прогнозувати та робити власні умовиводи </w:t>
            </w:r>
          </w:p>
        </w:tc>
      </w:tr>
      <w:tr w:rsidR="00F56C5C">
        <w:trPr>
          <w:trHeight w:val="380"/>
        </w:trPr>
        <w:tc>
          <w:tcPr>
            <w:tcW w:w="936" w:type="dxa"/>
          </w:tcPr>
          <w:p w:rsidR="00F56C5C" w:rsidRDefault="00F56C5C" w:rsidP="00F56C5C">
            <w:pPr>
              <w:widowControl/>
              <w:ind w:left="1" w:hanging="3"/>
              <w:rPr>
                <w:sz w:val="28"/>
                <w:szCs w:val="28"/>
              </w:rPr>
            </w:pPr>
            <w:r>
              <w:rPr>
                <w:sz w:val="28"/>
                <w:szCs w:val="28"/>
              </w:rPr>
              <w:t>2.</w:t>
            </w:r>
          </w:p>
        </w:tc>
        <w:tc>
          <w:tcPr>
            <w:tcW w:w="4162" w:type="dxa"/>
            <w:tcBorders>
              <w:top w:val="single" w:sz="6" w:space="0" w:color="000000"/>
              <w:left w:val="single" w:sz="6" w:space="0" w:color="000000"/>
              <w:bottom w:val="single" w:sz="6" w:space="0" w:color="000000"/>
              <w:right w:val="single" w:sz="6" w:space="0" w:color="000000"/>
            </w:tcBorders>
          </w:tcPr>
          <w:p w:rsidR="00F56C5C" w:rsidRDefault="00F56C5C" w:rsidP="00F56C5C">
            <w:pPr>
              <w:ind w:left="1" w:hanging="3"/>
              <w:jc w:val="both"/>
              <w:rPr>
                <w:sz w:val="28"/>
                <w:szCs w:val="28"/>
              </w:rPr>
            </w:pPr>
            <w:r>
              <w:rPr>
                <w:sz w:val="28"/>
                <w:szCs w:val="28"/>
              </w:rPr>
              <w:t>Досягнення результатів</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both"/>
              <w:rPr>
                <w:sz w:val="28"/>
                <w:szCs w:val="28"/>
              </w:rPr>
            </w:pPr>
            <w:r>
              <w:rPr>
                <w:sz w:val="28"/>
                <w:szCs w:val="28"/>
              </w:rPr>
              <w:t>- здатність до чіткого бачення результату діяльності;</w:t>
            </w:r>
          </w:p>
          <w:p w:rsidR="00F56C5C" w:rsidRDefault="00F56C5C" w:rsidP="00F56C5C">
            <w:pPr>
              <w:widowControl/>
              <w:ind w:left="1" w:hanging="3"/>
              <w:jc w:val="both"/>
              <w:rPr>
                <w:sz w:val="28"/>
                <w:szCs w:val="28"/>
              </w:rPr>
            </w:pPr>
            <w:r>
              <w:rPr>
                <w:sz w:val="28"/>
                <w:szCs w:val="28"/>
              </w:rPr>
              <w:lastRenderedPageBreak/>
              <w:t>- вміння фокусувати зусилля для досягнення результату діяльності;</w:t>
            </w:r>
          </w:p>
          <w:p w:rsidR="00F56C5C" w:rsidRDefault="00F56C5C" w:rsidP="00F56C5C">
            <w:pPr>
              <w:widowControl/>
              <w:ind w:left="1" w:hanging="3"/>
              <w:jc w:val="both"/>
              <w:rPr>
                <w:sz w:val="28"/>
                <w:szCs w:val="28"/>
              </w:rPr>
            </w:pPr>
            <w:r>
              <w:rPr>
                <w:sz w:val="28"/>
                <w:szCs w:val="28"/>
              </w:rPr>
              <w:t>- вміння запобігати та ефективно долати перешкоди</w:t>
            </w:r>
          </w:p>
        </w:tc>
      </w:tr>
      <w:tr w:rsidR="00F56C5C">
        <w:trPr>
          <w:trHeight w:val="684"/>
        </w:trPr>
        <w:tc>
          <w:tcPr>
            <w:tcW w:w="936" w:type="dxa"/>
          </w:tcPr>
          <w:p w:rsidR="00F56C5C" w:rsidRDefault="00F56C5C" w:rsidP="00F56C5C">
            <w:pPr>
              <w:widowControl/>
              <w:ind w:left="1" w:hanging="3"/>
              <w:rPr>
                <w:sz w:val="28"/>
                <w:szCs w:val="28"/>
              </w:rPr>
            </w:pPr>
            <w:r>
              <w:rPr>
                <w:sz w:val="28"/>
                <w:szCs w:val="28"/>
              </w:rPr>
              <w:lastRenderedPageBreak/>
              <w:t>3.</w:t>
            </w:r>
          </w:p>
        </w:tc>
        <w:tc>
          <w:tcPr>
            <w:tcW w:w="4162" w:type="dxa"/>
          </w:tcPr>
          <w:p w:rsidR="00F56C5C" w:rsidRDefault="00F56C5C" w:rsidP="00F56C5C">
            <w:pPr>
              <w:ind w:left="1" w:hanging="3"/>
              <w:jc w:val="both"/>
              <w:rPr>
                <w:sz w:val="28"/>
                <w:szCs w:val="28"/>
              </w:rPr>
            </w:pPr>
            <w:r>
              <w:rPr>
                <w:sz w:val="28"/>
                <w:szCs w:val="28"/>
              </w:rPr>
              <w:t xml:space="preserve">Командна робота та взаємодія </w:t>
            </w:r>
          </w:p>
        </w:tc>
        <w:tc>
          <w:tcPr>
            <w:tcW w:w="10225" w:type="dxa"/>
          </w:tcPr>
          <w:p w:rsidR="00F56C5C" w:rsidRDefault="00F56C5C" w:rsidP="00F56C5C">
            <w:pPr>
              <w:widowControl/>
              <w:ind w:left="1" w:hanging="3"/>
              <w:jc w:val="both"/>
              <w:rPr>
                <w:sz w:val="28"/>
                <w:szCs w:val="28"/>
              </w:rPr>
            </w:pPr>
            <w:r>
              <w:rPr>
                <w:sz w:val="28"/>
                <w:szCs w:val="28"/>
              </w:rPr>
              <w:t>- орієнтація на командний результат;</w:t>
            </w:r>
          </w:p>
          <w:p w:rsidR="00F56C5C" w:rsidRDefault="00F56C5C" w:rsidP="00F56C5C">
            <w:pPr>
              <w:widowControl/>
              <w:ind w:left="1" w:hanging="3"/>
              <w:jc w:val="both"/>
              <w:rPr>
                <w:sz w:val="28"/>
                <w:szCs w:val="28"/>
              </w:rPr>
            </w:pPr>
            <w:r>
              <w:rPr>
                <w:sz w:val="28"/>
                <w:szCs w:val="28"/>
              </w:rPr>
              <w:t>- готовність працювати в команді та сприяти колегам у їх професійній діяльності задля досягнення спільних цілей;</w:t>
            </w:r>
          </w:p>
          <w:p w:rsidR="00F56C5C" w:rsidRDefault="00F56C5C" w:rsidP="00F56C5C">
            <w:pPr>
              <w:widowControl/>
              <w:ind w:left="1" w:hanging="3"/>
              <w:jc w:val="both"/>
              <w:rPr>
                <w:sz w:val="28"/>
                <w:szCs w:val="28"/>
              </w:rPr>
            </w:pPr>
            <w:r>
              <w:rPr>
                <w:sz w:val="28"/>
                <w:szCs w:val="28"/>
              </w:rPr>
              <w:t>- відкритість в обміні інформацією</w:t>
            </w:r>
          </w:p>
        </w:tc>
      </w:tr>
      <w:tr w:rsidR="00F56C5C">
        <w:tc>
          <w:tcPr>
            <w:tcW w:w="15323" w:type="dxa"/>
            <w:gridSpan w:val="3"/>
            <w:vAlign w:val="center"/>
          </w:tcPr>
          <w:p w:rsidR="00F56C5C" w:rsidRDefault="00F56C5C" w:rsidP="00F56C5C">
            <w:pPr>
              <w:widowControl/>
              <w:ind w:left="1" w:hanging="3"/>
              <w:jc w:val="center"/>
              <w:rPr>
                <w:sz w:val="28"/>
                <w:szCs w:val="28"/>
              </w:rPr>
            </w:pPr>
            <w:r>
              <w:rPr>
                <w:sz w:val="28"/>
                <w:szCs w:val="28"/>
              </w:rPr>
              <w:t>Професійні знання</w:t>
            </w:r>
          </w:p>
        </w:tc>
      </w:tr>
      <w:tr w:rsidR="00F56C5C" w:rsidTr="00067C0E">
        <w:trPr>
          <w:trHeight w:val="186"/>
        </w:trPr>
        <w:tc>
          <w:tcPr>
            <w:tcW w:w="5098" w:type="dxa"/>
            <w:gridSpan w:val="2"/>
            <w:tcBorders>
              <w:top w:val="single" w:sz="4" w:space="0" w:color="000000"/>
              <w:left w:val="single" w:sz="4" w:space="0" w:color="000000"/>
              <w:bottom w:val="single" w:sz="4" w:space="0" w:color="000000"/>
              <w:right w:val="single" w:sz="6" w:space="0" w:color="000000"/>
            </w:tcBorders>
          </w:tcPr>
          <w:p w:rsidR="00F56C5C" w:rsidRDefault="00F56C5C" w:rsidP="00F56C5C">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center"/>
              <w:rPr>
                <w:sz w:val="28"/>
                <w:szCs w:val="28"/>
              </w:rPr>
            </w:pPr>
            <w:r>
              <w:rPr>
                <w:sz w:val="28"/>
                <w:szCs w:val="28"/>
              </w:rPr>
              <w:t>Компоненти вимоги</w:t>
            </w:r>
          </w:p>
        </w:tc>
      </w:tr>
      <w:tr w:rsidR="00F56C5C">
        <w:trPr>
          <w:trHeight w:val="999"/>
        </w:trPr>
        <w:tc>
          <w:tcPr>
            <w:tcW w:w="936" w:type="dxa"/>
          </w:tcPr>
          <w:p w:rsidR="00F56C5C" w:rsidRDefault="00F56C5C" w:rsidP="00F56C5C">
            <w:pPr>
              <w:widowControl/>
              <w:ind w:left="1" w:hanging="3"/>
              <w:rPr>
                <w:sz w:val="28"/>
                <w:szCs w:val="28"/>
              </w:rPr>
            </w:pPr>
            <w:r>
              <w:rPr>
                <w:sz w:val="28"/>
                <w:szCs w:val="28"/>
              </w:rPr>
              <w:t>1.</w:t>
            </w:r>
          </w:p>
        </w:tc>
        <w:tc>
          <w:tcPr>
            <w:tcW w:w="4162" w:type="dxa"/>
          </w:tcPr>
          <w:p w:rsidR="00F56C5C" w:rsidRDefault="00F56C5C" w:rsidP="00F56C5C">
            <w:pPr>
              <w:widowControl/>
              <w:ind w:left="1" w:hanging="3"/>
              <w:rPr>
                <w:sz w:val="28"/>
                <w:szCs w:val="28"/>
              </w:rPr>
            </w:pPr>
            <w:r>
              <w:rPr>
                <w:sz w:val="28"/>
                <w:szCs w:val="28"/>
              </w:rPr>
              <w:t>Знання законодавства</w:t>
            </w:r>
          </w:p>
        </w:tc>
        <w:tc>
          <w:tcPr>
            <w:tcW w:w="10225" w:type="dxa"/>
          </w:tcPr>
          <w:p w:rsidR="00F56C5C" w:rsidRDefault="00F56C5C" w:rsidP="00F56C5C">
            <w:pPr>
              <w:ind w:left="1" w:hanging="3"/>
              <w:rPr>
                <w:sz w:val="28"/>
                <w:szCs w:val="28"/>
              </w:rPr>
            </w:pPr>
            <w:r>
              <w:rPr>
                <w:sz w:val="28"/>
                <w:szCs w:val="28"/>
              </w:rPr>
              <w:t>Знання:</w:t>
            </w:r>
          </w:p>
          <w:p w:rsidR="00F56C5C" w:rsidRDefault="00F56C5C" w:rsidP="00F56C5C">
            <w:pPr>
              <w:ind w:left="1" w:hanging="3"/>
              <w:rPr>
                <w:sz w:val="28"/>
                <w:szCs w:val="28"/>
              </w:rPr>
            </w:pPr>
            <w:r>
              <w:rPr>
                <w:sz w:val="28"/>
                <w:szCs w:val="28"/>
              </w:rPr>
              <w:t>Конституції України;</w:t>
            </w:r>
          </w:p>
          <w:p w:rsidR="00F56C5C" w:rsidRDefault="00F56C5C" w:rsidP="00F56C5C">
            <w:pPr>
              <w:ind w:left="1" w:hanging="3"/>
              <w:rPr>
                <w:sz w:val="28"/>
                <w:szCs w:val="28"/>
              </w:rPr>
            </w:pPr>
            <w:r>
              <w:rPr>
                <w:sz w:val="28"/>
                <w:szCs w:val="28"/>
              </w:rPr>
              <w:t>Закону України «Про державну службу»;</w:t>
            </w:r>
          </w:p>
          <w:p w:rsidR="00F56C5C" w:rsidRDefault="00F56C5C" w:rsidP="00F56C5C">
            <w:pPr>
              <w:widowControl/>
              <w:ind w:left="1" w:hanging="3"/>
              <w:rPr>
                <w:sz w:val="28"/>
                <w:szCs w:val="28"/>
              </w:rPr>
            </w:pPr>
            <w:r>
              <w:rPr>
                <w:sz w:val="28"/>
                <w:szCs w:val="28"/>
              </w:rPr>
              <w:t>Закону України «Про запобігання корупції» та іншого законодавства</w:t>
            </w:r>
          </w:p>
        </w:tc>
      </w:tr>
      <w:tr w:rsidR="00F56C5C" w:rsidTr="00B97A9A">
        <w:trPr>
          <w:trHeight w:val="2247"/>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 xml:space="preserve">Знання законодавства у сфері </w:t>
            </w:r>
          </w:p>
        </w:tc>
        <w:tc>
          <w:tcPr>
            <w:tcW w:w="10225" w:type="dxa"/>
          </w:tcPr>
          <w:p w:rsidR="00F56C5C" w:rsidRDefault="00F56C5C" w:rsidP="00F56C5C">
            <w:pPr>
              <w:pBdr>
                <w:top w:val="nil"/>
                <w:left w:val="nil"/>
                <w:bottom w:val="nil"/>
                <w:right w:val="nil"/>
                <w:between w:val="nil"/>
              </w:pBdr>
              <w:spacing w:line="240" w:lineRule="auto"/>
              <w:ind w:left="1" w:hanging="3"/>
              <w:jc w:val="both"/>
              <w:rPr>
                <w:sz w:val="28"/>
                <w:szCs w:val="28"/>
              </w:rPr>
            </w:pPr>
            <w:r>
              <w:rPr>
                <w:sz w:val="28"/>
                <w:szCs w:val="28"/>
              </w:rPr>
              <w:t xml:space="preserve">Знання: </w:t>
            </w:r>
          </w:p>
          <w:p w:rsidR="00B10CD8" w:rsidRPr="00B97A9A" w:rsidRDefault="00B10CD8" w:rsidP="00B10CD8">
            <w:pPr>
              <w:widowControl/>
              <w:suppressAutoHyphens w:val="0"/>
              <w:spacing w:line="240" w:lineRule="auto"/>
              <w:ind w:leftChars="0" w:left="0" w:firstLineChars="0" w:firstLine="0"/>
              <w:jc w:val="both"/>
              <w:textDirection w:val="lrTb"/>
              <w:textAlignment w:val="auto"/>
              <w:outlineLvl w:val="9"/>
              <w:rPr>
                <w:sz w:val="28"/>
                <w:szCs w:val="28"/>
              </w:rPr>
            </w:pPr>
            <w:r w:rsidRPr="00B97A9A">
              <w:rPr>
                <w:sz w:val="28"/>
                <w:szCs w:val="28"/>
              </w:rPr>
              <w:t>Закону України «Про міжнародні договори України»;</w:t>
            </w:r>
          </w:p>
          <w:p w:rsidR="00B10CD8" w:rsidRPr="00B97A9A" w:rsidRDefault="00FC0D9C" w:rsidP="00B10CD8">
            <w:pPr>
              <w:widowControl/>
              <w:suppressAutoHyphens w:val="0"/>
              <w:spacing w:line="240" w:lineRule="auto"/>
              <w:ind w:leftChars="0" w:left="0" w:firstLineChars="0" w:firstLine="0"/>
              <w:jc w:val="both"/>
              <w:textDirection w:val="lrTb"/>
              <w:textAlignment w:val="auto"/>
              <w:outlineLvl w:val="9"/>
              <w:rPr>
                <w:sz w:val="28"/>
                <w:szCs w:val="28"/>
                <w:lang w:eastAsia="ru-RU"/>
              </w:rPr>
            </w:pPr>
            <w:r w:rsidRPr="00B97A9A">
              <w:rPr>
                <w:sz w:val="28"/>
                <w:szCs w:val="28"/>
              </w:rPr>
              <w:t>постанов</w:t>
            </w:r>
            <w:r>
              <w:rPr>
                <w:sz w:val="28"/>
                <w:szCs w:val="28"/>
              </w:rPr>
              <w:t>и</w:t>
            </w:r>
            <w:r w:rsidRPr="00B97A9A">
              <w:rPr>
                <w:sz w:val="28"/>
                <w:szCs w:val="28"/>
              </w:rPr>
              <w:t xml:space="preserve"> КМУ від</w:t>
            </w:r>
            <w:r>
              <w:rPr>
                <w:sz w:val="28"/>
                <w:szCs w:val="28"/>
              </w:rPr>
              <w:t> </w:t>
            </w:r>
            <w:r w:rsidRPr="00B97A9A">
              <w:rPr>
                <w:sz w:val="28"/>
                <w:szCs w:val="28"/>
              </w:rPr>
              <w:t>01.06.2016 № 346</w:t>
            </w:r>
            <w:r>
              <w:rPr>
                <w:sz w:val="28"/>
                <w:szCs w:val="28"/>
              </w:rPr>
              <w:t xml:space="preserve"> </w:t>
            </w:r>
            <w:r w:rsidR="001225CA">
              <w:rPr>
                <w:sz w:val="28"/>
                <w:szCs w:val="28"/>
              </w:rPr>
              <w:t xml:space="preserve">«Про затвердження </w:t>
            </w:r>
            <w:r w:rsidR="00B10CD8" w:rsidRPr="00B97A9A">
              <w:rPr>
                <w:sz w:val="28"/>
                <w:szCs w:val="28"/>
              </w:rPr>
              <w:t>Порядку забезпечення захисту прав та інтересів України в торговельно-економічній сфері в рамках Світової організації торгівлі</w:t>
            </w:r>
            <w:r w:rsidR="001225CA">
              <w:rPr>
                <w:sz w:val="28"/>
                <w:szCs w:val="28"/>
              </w:rPr>
              <w:t>»</w:t>
            </w:r>
            <w:r w:rsidR="00B10CD8" w:rsidRPr="00B97A9A">
              <w:rPr>
                <w:sz w:val="28"/>
                <w:szCs w:val="28"/>
              </w:rPr>
              <w:t>;</w:t>
            </w:r>
          </w:p>
          <w:p w:rsidR="00B10CD8" w:rsidRPr="00B97A9A" w:rsidRDefault="00B10CD8" w:rsidP="00B10CD8">
            <w:pPr>
              <w:widowControl/>
              <w:suppressAutoHyphens w:val="0"/>
              <w:spacing w:line="240" w:lineRule="auto"/>
              <w:ind w:leftChars="0" w:left="0" w:firstLineChars="0" w:firstLine="0"/>
              <w:jc w:val="both"/>
              <w:textDirection w:val="lrTb"/>
              <w:textAlignment w:val="auto"/>
              <w:outlineLvl w:val="9"/>
              <w:rPr>
                <w:sz w:val="28"/>
                <w:szCs w:val="28"/>
              </w:rPr>
            </w:pPr>
            <w:r w:rsidRPr="00B97A9A">
              <w:rPr>
                <w:sz w:val="28"/>
                <w:szCs w:val="28"/>
              </w:rPr>
              <w:t>Марракеської угоди про заснування Світової організації торгівлі від 15</w:t>
            </w:r>
            <w:r w:rsidR="00B97A9A" w:rsidRPr="00B97A9A">
              <w:rPr>
                <w:sz w:val="28"/>
                <w:szCs w:val="28"/>
              </w:rPr>
              <w:t>.04.</w:t>
            </w:r>
            <w:r w:rsidRPr="00B97A9A">
              <w:rPr>
                <w:sz w:val="28"/>
                <w:szCs w:val="28"/>
              </w:rPr>
              <w:t>1994 та Додатки до неї, а саме Генеральн</w:t>
            </w:r>
            <w:r w:rsidR="00B97A9A" w:rsidRPr="00B97A9A">
              <w:rPr>
                <w:sz w:val="28"/>
                <w:szCs w:val="28"/>
              </w:rPr>
              <w:t>ої</w:t>
            </w:r>
            <w:r w:rsidRPr="00B97A9A">
              <w:rPr>
                <w:sz w:val="28"/>
                <w:szCs w:val="28"/>
              </w:rPr>
              <w:t xml:space="preserve"> угод</w:t>
            </w:r>
            <w:r w:rsidR="00B97A9A" w:rsidRPr="00B97A9A">
              <w:rPr>
                <w:sz w:val="28"/>
                <w:szCs w:val="28"/>
              </w:rPr>
              <w:t>и</w:t>
            </w:r>
            <w:r w:rsidRPr="00B97A9A">
              <w:rPr>
                <w:sz w:val="28"/>
                <w:szCs w:val="28"/>
              </w:rPr>
              <w:t xml:space="preserve"> з тарифів і торгівлі 1994 року та Домовлен</w:t>
            </w:r>
            <w:r w:rsidR="00B97A9A" w:rsidRPr="00B97A9A">
              <w:rPr>
                <w:sz w:val="28"/>
                <w:szCs w:val="28"/>
              </w:rPr>
              <w:t>ості</w:t>
            </w:r>
            <w:r w:rsidRPr="00B97A9A">
              <w:rPr>
                <w:sz w:val="28"/>
                <w:szCs w:val="28"/>
              </w:rPr>
              <w:t xml:space="preserve"> про правила та процедури врегулювання суперечок СОТ; </w:t>
            </w:r>
          </w:p>
          <w:p w:rsidR="00B10CD8" w:rsidRPr="00B97A9A" w:rsidRDefault="00B10CD8" w:rsidP="00B10CD8">
            <w:pPr>
              <w:widowControl/>
              <w:suppressAutoHyphens w:val="0"/>
              <w:spacing w:line="240" w:lineRule="auto"/>
              <w:ind w:leftChars="0" w:left="0" w:firstLineChars="0" w:firstLine="0"/>
              <w:jc w:val="both"/>
              <w:textDirection w:val="lrTb"/>
              <w:textAlignment w:val="auto"/>
              <w:outlineLvl w:val="9"/>
              <w:rPr>
                <w:sz w:val="28"/>
                <w:szCs w:val="28"/>
              </w:rPr>
            </w:pPr>
            <w:r w:rsidRPr="00B97A9A">
              <w:rPr>
                <w:sz w:val="28"/>
                <w:szCs w:val="28"/>
              </w:rPr>
              <w:t>Віденської конвенції про право міжнародних договорів 1969 р</w:t>
            </w:r>
            <w:r w:rsidR="00B97A9A" w:rsidRPr="00B97A9A">
              <w:rPr>
                <w:sz w:val="28"/>
                <w:szCs w:val="28"/>
              </w:rPr>
              <w:t>оку</w:t>
            </w:r>
            <w:r w:rsidRPr="00B97A9A">
              <w:rPr>
                <w:sz w:val="28"/>
                <w:szCs w:val="28"/>
              </w:rPr>
              <w:t xml:space="preserve">; </w:t>
            </w:r>
          </w:p>
          <w:p w:rsidR="0086358E" w:rsidRPr="00B10CD8" w:rsidRDefault="00B10CD8" w:rsidP="00B10CD8">
            <w:pPr>
              <w:widowControl/>
              <w:suppressAutoHyphens w:val="0"/>
              <w:spacing w:line="240" w:lineRule="auto"/>
              <w:ind w:leftChars="0" w:left="0" w:firstLineChars="0" w:firstLine="0"/>
              <w:jc w:val="both"/>
              <w:textDirection w:val="lrTb"/>
              <w:textAlignment w:val="auto"/>
              <w:outlineLvl w:val="9"/>
            </w:pPr>
            <w:r w:rsidRPr="00B97A9A">
              <w:rPr>
                <w:sz w:val="28"/>
                <w:szCs w:val="28"/>
              </w:rPr>
              <w:t>Угод</w:t>
            </w:r>
            <w:r w:rsidR="00B97A9A" w:rsidRPr="00B97A9A">
              <w:rPr>
                <w:sz w:val="28"/>
                <w:szCs w:val="28"/>
              </w:rPr>
              <w:t>и</w:t>
            </w:r>
            <w:r w:rsidRPr="00B97A9A">
              <w:rPr>
                <w:sz w:val="28"/>
                <w:szCs w:val="28"/>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r>
    </w:tbl>
    <w:p w:rsidR="00B97A9A" w:rsidRDefault="00B97A9A" w:rsidP="00B10CD8">
      <w:pPr>
        <w:widowControl/>
        <w:suppressAutoHyphens w:val="0"/>
        <w:spacing w:line="240" w:lineRule="auto"/>
        <w:ind w:leftChars="0" w:left="0" w:firstLineChars="0" w:firstLine="0"/>
        <w:jc w:val="both"/>
        <w:textDirection w:val="lrTb"/>
        <w:textAlignment w:val="auto"/>
        <w:outlineLvl w:val="9"/>
      </w:pPr>
    </w:p>
    <w:p w:rsidR="0033435E" w:rsidRDefault="0033435E" w:rsidP="002869D9">
      <w:pPr>
        <w:widowControl/>
        <w:pBdr>
          <w:top w:val="nil"/>
          <w:left w:val="nil"/>
          <w:bottom w:val="nil"/>
          <w:right w:val="nil"/>
          <w:between w:val="nil"/>
        </w:pBdr>
        <w:tabs>
          <w:tab w:val="left" w:pos="5020"/>
        </w:tabs>
        <w:spacing w:line="240" w:lineRule="auto"/>
        <w:ind w:left="1" w:hanging="3"/>
        <w:jc w:val="both"/>
        <w:rPr>
          <w:sz w:val="28"/>
          <w:szCs w:val="28"/>
        </w:rPr>
      </w:pPr>
    </w:p>
    <w:sectPr w:rsidR="0033435E" w:rsidSect="00512004">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539" w:bottom="142" w:left="851" w:header="567"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179" w:rsidRDefault="00175179">
      <w:pPr>
        <w:spacing w:line="240" w:lineRule="auto"/>
        <w:ind w:left="0" w:hanging="2"/>
      </w:pPr>
      <w:r>
        <w:separator/>
      </w:r>
    </w:p>
  </w:endnote>
  <w:endnote w:type="continuationSeparator" w:id="0">
    <w:p w:rsidR="00175179" w:rsidRDefault="001751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179" w:rsidRDefault="00175179">
      <w:pPr>
        <w:spacing w:line="240" w:lineRule="auto"/>
        <w:ind w:left="0" w:hanging="2"/>
      </w:pPr>
      <w:r>
        <w:separator/>
      </w:r>
    </w:p>
  </w:footnote>
  <w:footnote w:type="continuationSeparator" w:id="0">
    <w:p w:rsidR="00175179" w:rsidRDefault="001751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5E" w:rsidRDefault="0033435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590B"/>
    <w:multiLevelType w:val="hybridMultilevel"/>
    <w:tmpl w:val="6464D100"/>
    <w:lvl w:ilvl="0" w:tplc="E192295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E5F76FA"/>
    <w:multiLevelType w:val="hybridMultilevel"/>
    <w:tmpl w:val="1BB41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5E"/>
    <w:rsid w:val="00032024"/>
    <w:rsid w:val="00067C0E"/>
    <w:rsid w:val="00091DDA"/>
    <w:rsid w:val="000950F6"/>
    <w:rsid w:val="00114576"/>
    <w:rsid w:val="0012238E"/>
    <w:rsid w:val="001225CA"/>
    <w:rsid w:val="001666BF"/>
    <w:rsid w:val="00175179"/>
    <w:rsid w:val="00190E39"/>
    <w:rsid w:val="001A60EB"/>
    <w:rsid w:val="001E2C2E"/>
    <w:rsid w:val="001F7DC3"/>
    <w:rsid w:val="002765F3"/>
    <w:rsid w:val="002869D9"/>
    <w:rsid w:val="002C5617"/>
    <w:rsid w:val="003006AD"/>
    <w:rsid w:val="00322628"/>
    <w:rsid w:val="003326E5"/>
    <w:rsid w:val="0033435E"/>
    <w:rsid w:val="003834D4"/>
    <w:rsid w:val="003A029C"/>
    <w:rsid w:val="003A70D1"/>
    <w:rsid w:val="003D766E"/>
    <w:rsid w:val="003F629E"/>
    <w:rsid w:val="00451EF6"/>
    <w:rsid w:val="00455A32"/>
    <w:rsid w:val="00467638"/>
    <w:rsid w:val="00496474"/>
    <w:rsid w:val="004F0DBC"/>
    <w:rsid w:val="00512004"/>
    <w:rsid w:val="00545EE9"/>
    <w:rsid w:val="00563509"/>
    <w:rsid w:val="00591C2F"/>
    <w:rsid w:val="005924AC"/>
    <w:rsid w:val="005A55A5"/>
    <w:rsid w:val="005D5837"/>
    <w:rsid w:val="0063125B"/>
    <w:rsid w:val="0067040C"/>
    <w:rsid w:val="0067421F"/>
    <w:rsid w:val="00692E75"/>
    <w:rsid w:val="006B4FAB"/>
    <w:rsid w:val="006C2A22"/>
    <w:rsid w:val="006C3474"/>
    <w:rsid w:val="00756307"/>
    <w:rsid w:val="007C495C"/>
    <w:rsid w:val="00824618"/>
    <w:rsid w:val="00860626"/>
    <w:rsid w:val="0086358E"/>
    <w:rsid w:val="00870558"/>
    <w:rsid w:val="008B0FF4"/>
    <w:rsid w:val="00903E9A"/>
    <w:rsid w:val="00916F3A"/>
    <w:rsid w:val="009372E8"/>
    <w:rsid w:val="00943ACD"/>
    <w:rsid w:val="009706EC"/>
    <w:rsid w:val="0097525B"/>
    <w:rsid w:val="009B783E"/>
    <w:rsid w:val="009E49A9"/>
    <w:rsid w:val="009F14F3"/>
    <w:rsid w:val="00A14267"/>
    <w:rsid w:val="00A21B62"/>
    <w:rsid w:val="00A85EE6"/>
    <w:rsid w:val="00B10CD8"/>
    <w:rsid w:val="00B148E3"/>
    <w:rsid w:val="00B97A9A"/>
    <w:rsid w:val="00BE1F20"/>
    <w:rsid w:val="00C1702A"/>
    <w:rsid w:val="00C42532"/>
    <w:rsid w:val="00C81839"/>
    <w:rsid w:val="00CC6A84"/>
    <w:rsid w:val="00CE6EE3"/>
    <w:rsid w:val="00CF76A6"/>
    <w:rsid w:val="00D33751"/>
    <w:rsid w:val="00D47854"/>
    <w:rsid w:val="00DC42B5"/>
    <w:rsid w:val="00DD71EC"/>
    <w:rsid w:val="00DF6507"/>
    <w:rsid w:val="00E07BD0"/>
    <w:rsid w:val="00E21C61"/>
    <w:rsid w:val="00E30D54"/>
    <w:rsid w:val="00E9034F"/>
    <w:rsid w:val="00EF6145"/>
    <w:rsid w:val="00F0444E"/>
    <w:rsid w:val="00F0671E"/>
    <w:rsid w:val="00F4045B"/>
    <w:rsid w:val="00F56C5C"/>
    <w:rsid w:val="00FC0D9C"/>
    <w:rsid w:val="00FE2136"/>
    <w:rsid w:val="00FE3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E8AF"/>
  <w15:docId w15:val="{1D24D634-5442-435A-B5C2-47E6848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qFormat/>
    <w:rPr>
      <w:w w:val="100"/>
      <w:position w:val="-1"/>
      <w:effect w:val="none"/>
      <w:vertAlign w:val="baseline"/>
      <w:cs w:val="0"/>
      <w:em w:val="none"/>
    </w:rPr>
  </w:style>
  <w:style w:type="paragraph" w:styleId="a5">
    <w:name w:val="Balloon Text"/>
    <w:basedOn w:val="a"/>
    <w:qFormat/>
    <w:pPr>
      <w:ind w:firstLine="709"/>
      <w:jc w:val="both"/>
    </w:pPr>
    <w:rPr>
      <w:rFonts w:ascii="Tahoma" w:hAnsi="Tahoma"/>
      <w:sz w:val="16"/>
      <w:szCs w:val="16"/>
      <w:lang w:eastAsia="ru-RU"/>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ru-RU"/>
    </w:rPr>
  </w:style>
  <w:style w:type="paragraph" w:styleId="a7">
    <w:name w:val="List Paragraph"/>
    <w:basedOn w:val="a"/>
    <w:uiPriority w:val="34"/>
    <w:qFormat/>
    <w:pPr>
      <w:ind w:left="720" w:firstLine="709"/>
      <w:contextualSpacing/>
      <w:jc w:val="both"/>
    </w:pPr>
    <w:rPr>
      <w:sz w:val="28"/>
      <w:szCs w:val="24"/>
      <w:lang w:eastAsia="ru-RU"/>
    </w:r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ind w:firstLine="0"/>
    </w:pPr>
    <w:rPr>
      <w:sz w:val="24"/>
      <w:szCs w:val="24"/>
      <w:lang w:val="ru-RU" w:eastAsia="ru-RU"/>
    </w:rPr>
  </w:style>
  <w:style w:type="character" w:customStyle="1" w:styleId="rvts0">
    <w:name w:val="rvts0"/>
    <w:basedOn w:val="a4"/>
    <w:rPr>
      <w:w w:val="100"/>
      <w:position w:val="-1"/>
      <w:effect w:val="none"/>
      <w:vertAlign w:val="baseline"/>
      <w:cs w:val="0"/>
      <w:em w:val="none"/>
    </w:rPr>
  </w:style>
  <w:style w:type="character" w:customStyle="1" w:styleId="spelle">
    <w:name w:val="spelle"/>
    <w:basedOn w:val="a4"/>
    <w:rPr>
      <w:w w:val="100"/>
      <w:position w:val="-1"/>
      <w:effect w:val="none"/>
      <w:vertAlign w:val="baseline"/>
      <w:cs w:val="0"/>
      <w:em w:val="none"/>
    </w:rPr>
  </w:style>
  <w:style w:type="character" w:customStyle="1" w:styleId="aa">
    <w:name w:val="Основний текст Знак"/>
    <w:rPr>
      <w:w w:val="100"/>
      <w:position w:val="-1"/>
      <w:sz w:val="28"/>
      <w:effect w:val="none"/>
      <w:vertAlign w:val="baseline"/>
      <w:cs w:val="0"/>
      <w:em w:val="none"/>
      <w:lang w:val="ru-RU" w:eastAsia="ru-RU" w:bidi="ar-SA"/>
    </w:rPr>
  </w:style>
  <w:style w:type="paragraph" w:styleId="ab">
    <w:name w:val="Body Text"/>
    <w:basedOn w:val="a"/>
    <w:pPr>
      <w:ind w:firstLine="0"/>
      <w:jc w:val="both"/>
    </w:pPr>
    <w:rPr>
      <w:rFonts w:ascii="Calibri" w:hAnsi="Calibri"/>
      <w:sz w:val="28"/>
      <w:lang w:val="ru-RU" w:eastAsia="ru-RU"/>
    </w:rPr>
  </w:style>
  <w:style w:type="paragraph" w:customStyle="1" w:styleId="ac">
    <w:name w:val="заголов"/>
    <w:basedOn w:val="a"/>
    <w:pPr>
      <w:suppressAutoHyphens w:val="0"/>
      <w:ind w:firstLine="0"/>
      <w:jc w:val="center"/>
    </w:pPr>
    <w:rPr>
      <w:b/>
      <w:kern w:val="2"/>
      <w:sz w:val="24"/>
      <w:szCs w:val="24"/>
      <w:lang w:eastAsia="ar-SA"/>
    </w:rPr>
  </w:style>
  <w:style w:type="paragraph" w:styleId="ad">
    <w:name w:val="Normal (Web)"/>
    <w:basedOn w:val="a"/>
    <w:qFormat/>
    <w:pPr>
      <w:spacing w:before="100" w:beforeAutospacing="1" w:after="100" w:afterAutospacing="1"/>
      <w:ind w:firstLine="0"/>
    </w:pPr>
    <w:rPr>
      <w:sz w:val="24"/>
      <w:szCs w:val="24"/>
      <w:lang w:val="ru-RU" w:eastAsia="ru-RU"/>
    </w:rPr>
  </w:style>
  <w:style w:type="paragraph" w:customStyle="1" w:styleId="rvps7">
    <w:name w:val="rvps7"/>
    <w:basedOn w:val="a"/>
    <w:pPr>
      <w:spacing w:before="100" w:beforeAutospacing="1" w:after="100" w:afterAutospacing="1"/>
      <w:ind w:firstLine="0"/>
    </w:pPr>
    <w:rPr>
      <w:sz w:val="24"/>
      <w:szCs w:val="24"/>
    </w:rPr>
  </w:style>
  <w:style w:type="character" w:customStyle="1" w:styleId="rvts15">
    <w:name w:val="rvts15"/>
    <w:basedOn w:val="a4"/>
    <w:rPr>
      <w:w w:val="100"/>
      <w:position w:val="-1"/>
      <w:effect w:val="none"/>
      <w:vertAlign w:val="baseline"/>
      <w:cs w:val="0"/>
      <w:em w:val="none"/>
    </w:rPr>
  </w:style>
  <w:style w:type="paragraph" w:customStyle="1" w:styleId="rvps12">
    <w:name w:val="rvps12"/>
    <w:basedOn w:val="a"/>
    <w:pPr>
      <w:spacing w:before="100" w:beforeAutospacing="1" w:after="100" w:afterAutospacing="1"/>
      <w:ind w:firstLine="0"/>
    </w:pPr>
    <w:rPr>
      <w:sz w:val="24"/>
      <w:szCs w:val="24"/>
    </w:rPr>
  </w:style>
  <w:style w:type="paragraph" w:customStyle="1" w:styleId="rvps14">
    <w:name w:val="rvps14"/>
    <w:basedOn w:val="a"/>
    <w:pPr>
      <w:spacing w:before="100" w:beforeAutospacing="1" w:after="100" w:afterAutospacing="1"/>
      <w:ind w:firstLine="0"/>
    </w:pPr>
    <w:rPr>
      <w:sz w:val="24"/>
      <w:szCs w:val="24"/>
    </w:rPr>
  </w:style>
  <w:style w:type="character" w:customStyle="1" w:styleId="rvts23">
    <w:name w:val="rvts23"/>
    <w:basedOn w:val="a4"/>
    <w:rPr>
      <w:w w:val="100"/>
      <w:position w:val="-1"/>
      <w:effect w:val="none"/>
      <w:vertAlign w:val="baseline"/>
      <w:cs w:val="0"/>
      <w:em w:val="none"/>
    </w:rPr>
  </w:style>
  <w:style w:type="paragraph" w:styleId="HTML">
    <w:name w:val="HTML Preformatted"/>
    <w:basedOn w:val="a"/>
    <w:qFormat/>
    <w:pPr>
      <w:ind w:firstLine="0"/>
    </w:pPr>
    <w:rPr>
      <w:rFonts w:ascii="Courier New" w:hAnsi="Courier New"/>
    </w:rPr>
  </w:style>
  <w:style w:type="character" w:customStyle="1" w:styleId="HTML0">
    <w:name w:val="Стандартний HTML Знак"/>
    <w:rPr>
      <w:rFonts w:ascii="Courier New" w:eastAsia="Times New Roman" w:hAnsi="Courier New" w:cs="Courier New"/>
      <w:w w:val="100"/>
      <w:position w:val="-1"/>
      <w:effect w:val="none"/>
      <w:vertAlign w:val="baseline"/>
      <w:cs w:val="0"/>
      <w:em w:val="none"/>
    </w:rPr>
  </w:style>
  <w:style w:type="paragraph" w:customStyle="1" w:styleId="Style5">
    <w:name w:val="Style5"/>
    <w:basedOn w:val="a"/>
    <w:pPr>
      <w:autoSpaceDE w:val="0"/>
      <w:autoSpaceDN w:val="0"/>
      <w:adjustRightInd w:val="0"/>
      <w:spacing w:line="254" w:lineRule="atLeast"/>
      <w:ind w:firstLine="0"/>
      <w:jc w:val="center"/>
    </w:pPr>
    <w:rPr>
      <w:sz w:val="24"/>
      <w:szCs w:val="24"/>
      <w:lang w:val="ru-RU" w:eastAsia="ru-RU"/>
    </w:rPr>
  </w:style>
  <w:style w:type="character" w:customStyle="1" w:styleId="FontStyle30">
    <w:name w:val="Font Style30"/>
    <w:rPr>
      <w:rFonts w:ascii="Times New Roman" w:hAnsi="Times New Roman" w:cs="Times New Roman"/>
      <w:w w:val="100"/>
      <w:position w:val="-1"/>
      <w:sz w:val="22"/>
      <w:szCs w:val="22"/>
      <w:effect w:val="none"/>
      <w:vertAlign w:val="baseline"/>
      <w:cs w:val="0"/>
      <w:em w:val="none"/>
    </w:rPr>
  </w:style>
  <w:style w:type="character" w:customStyle="1" w:styleId="FontStyle31">
    <w:name w:val="Font Style31"/>
    <w:rPr>
      <w:rFonts w:ascii="Franklin Gothic Medium" w:hAnsi="Franklin Gothic Medium" w:cs="Franklin Gothic Medium"/>
      <w:w w:val="100"/>
      <w:position w:val="-1"/>
      <w:sz w:val="20"/>
      <w:szCs w:val="20"/>
      <w:effect w:val="none"/>
      <w:vertAlign w:val="baseline"/>
      <w:cs w:val="0"/>
      <w:em w:val="none"/>
    </w:rPr>
  </w:style>
  <w:style w:type="paragraph" w:styleId="ae">
    <w:name w:val="Body Text Indent"/>
    <w:basedOn w:val="a"/>
    <w:qFormat/>
    <w:pPr>
      <w:spacing w:after="120"/>
      <w:ind w:left="283" w:firstLine="709"/>
      <w:jc w:val="both"/>
    </w:pPr>
    <w:rPr>
      <w:sz w:val="28"/>
      <w:szCs w:val="24"/>
    </w:rPr>
  </w:style>
  <w:style w:type="character" w:customStyle="1" w:styleId="af">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10">
    <w:name w:val="Основной текст1"/>
    <w:basedOn w:val="a"/>
    <w:pPr>
      <w:shd w:val="clear" w:color="auto" w:fill="FFFFFF"/>
      <w:spacing w:before="660" w:after="240" w:line="312" w:lineRule="atLeast"/>
      <w:ind w:firstLine="0"/>
      <w:jc w:val="both"/>
    </w:pPr>
    <w:rPr>
      <w:rFonts w:ascii="Calibri" w:hAnsi="Calibri"/>
      <w:sz w:val="27"/>
      <w:szCs w:val="27"/>
    </w:rPr>
  </w:style>
  <w:style w:type="paragraph" w:styleId="20">
    <w:name w:val="Body Text 2"/>
    <w:basedOn w:val="a"/>
    <w:qFormat/>
    <w:pPr>
      <w:spacing w:after="120" w:line="480" w:lineRule="auto"/>
      <w:ind w:firstLine="0"/>
    </w:pPr>
    <w:rPr>
      <w:sz w:val="24"/>
      <w:szCs w:val="24"/>
    </w:rPr>
  </w:style>
  <w:style w:type="character" w:customStyle="1" w:styleId="2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a4"/>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paragraph" w:customStyle="1" w:styleId="TableContents">
    <w:name w:val="Table Contents"/>
    <w:basedOn w:val="a"/>
    <w:pPr>
      <w:suppressLineNumbers/>
      <w:suppressAutoHyphens w:val="0"/>
      <w:ind w:firstLine="0"/>
    </w:pPr>
    <w:rPr>
      <w:rFonts w:eastAsia="Arial Unicode MS" w:cs="Arial Unicode MS"/>
      <w:kern w:val="1"/>
      <w:sz w:val="24"/>
      <w:szCs w:val="24"/>
      <w:lang w:eastAsia="hi-IN" w:bidi="hi-IN"/>
    </w:rPr>
  </w:style>
  <w:style w:type="paragraph" w:styleId="22">
    <w:name w:val="Body Text Indent 2"/>
    <w:basedOn w:val="a"/>
    <w:qFormat/>
    <w:pPr>
      <w:spacing w:after="120" w:line="480" w:lineRule="auto"/>
      <w:ind w:left="283" w:firstLine="709"/>
      <w:jc w:val="both"/>
    </w:pPr>
    <w:rPr>
      <w:sz w:val="28"/>
      <w:szCs w:val="24"/>
      <w:lang w:eastAsia="ru-RU"/>
    </w:rPr>
  </w:style>
  <w:style w:type="character" w:customStyle="1" w:styleId="23">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noProof/>
      <w:sz w:val="24"/>
      <w:szCs w:val="24"/>
    </w:rPr>
  </w:style>
  <w:style w:type="character" w:customStyle="1" w:styleId="af2">
    <w:name w:val="Нижній колонтитул Знак"/>
    <w:rPr>
      <w:rFonts w:ascii="Times New Roman" w:eastAsia="Times New Roman" w:hAnsi="Times New Roman"/>
      <w:noProof/>
      <w:w w:val="100"/>
      <w:position w:val="-1"/>
      <w:sz w:val="24"/>
      <w:szCs w:val="24"/>
      <w:effect w:val="none"/>
      <w:vertAlign w:val="baseline"/>
      <w:cs w:val="0"/>
      <w:em w:val="none"/>
    </w:rPr>
  </w:style>
  <w:style w:type="paragraph" w:customStyle="1" w:styleId="11">
    <w:name w:val="Шрифт абзацу за промовчанням1"/>
    <w:pPr>
      <w:suppressAutoHyphens/>
      <w:spacing w:line="1" w:lineRule="atLeast"/>
      <w:ind w:leftChars="-1" w:left="-1" w:hangingChars="1"/>
      <w:textDirection w:val="btLr"/>
      <w:textAlignment w:val="top"/>
      <w:outlineLvl w:val="0"/>
    </w:pPr>
    <w:rPr>
      <w:noProof/>
      <w:position w:val="-1"/>
    </w:rPr>
  </w:style>
  <w:style w:type="paragraph" w:customStyle="1" w:styleId="12">
    <w:name w:val="Звичайний1"/>
    <w:pPr>
      <w:suppressAutoHyphens/>
      <w:spacing w:line="1" w:lineRule="atLeast"/>
      <w:ind w:leftChars="-1" w:left="-1" w:hangingChars="1"/>
      <w:textDirection w:val="btLr"/>
      <w:textAlignment w:val="top"/>
      <w:outlineLvl w:val="0"/>
    </w:pPr>
    <w:rPr>
      <w:color w:val="000000"/>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DF6507"/>
    <w:pPr>
      <w:tabs>
        <w:tab w:val="center" w:pos="4819"/>
        <w:tab w:val="right" w:pos="9639"/>
      </w:tabs>
      <w:spacing w:line="240" w:lineRule="auto"/>
    </w:pPr>
  </w:style>
  <w:style w:type="character" w:customStyle="1" w:styleId="afb">
    <w:name w:val="Верхній колонтитул Знак"/>
    <w:basedOn w:val="a0"/>
    <w:link w:val="afa"/>
    <w:uiPriority w:val="99"/>
    <w:rsid w:val="00DF6507"/>
    <w:rPr>
      <w:color w:val="000000"/>
      <w:position w:val="-1"/>
    </w:rPr>
  </w:style>
  <w:style w:type="paragraph" w:customStyle="1" w:styleId="LO-normal">
    <w:name w:val="LO-normal"/>
    <w:qFormat/>
    <w:rsid w:val="006C3474"/>
    <w:pPr>
      <w:widowControl/>
      <w:spacing w:before="280" w:after="280"/>
      <w:ind w:firstLine="0"/>
    </w:pPr>
    <w:rPr>
      <w:rFonts w:ascii="Calibri" w:eastAsia="NSimSun" w:hAnsi="Calibri" w:cs="Arial"/>
      <w:sz w:val="24"/>
      <w:szCs w:val="24"/>
      <w:lang w:eastAsia="zh-CN" w:bidi="hi-IN"/>
    </w:rPr>
  </w:style>
  <w:style w:type="paragraph" w:customStyle="1" w:styleId="210">
    <w:name w:val="Основной текст (2)1"/>
    <w:basedOn w:val="a"/>
    <w:rsid w:val="00FE314F"/>
    <w:pPr>
      <w:shd w:val="clear" w:color="auto" w:fill="FFFFFF"/>
      <w:suppressAutoHyphens w:val="0"/>
      <w:spacing w:before="60" w:after="60" w:line="322" w:lineRule="exact"/>
      <w:ind w:leftChars="0" w:left="0" w:firstLineChars="0" w:firstLine="0"/>
      <w:jc w:val="both"/>
      <w:textDirection w:val="lrTb"/>
      <w:textAlignment w:val="auto"/>
      <w:outlineLvl w:val="9"/>
    </w:pPr>
    <w:rPr>
      <w:color w:val="auto"/>
      <w:positio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10237?ed=2021_03_24&amp;an=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uf3IHWfABxXNPTszBt36o0oWQ==">AMUW2mXcrBEA6Ho0Lz3iZ0QukIh4P3QeaJKseDrGhVIRzlMuJjIuUGHYZdUexTf6bP8/KO8/Q5SXIhhsguqTJs7BEE04oGVFqGraUG4ne6SRHNVWNot5Vj5onBTleIJwbs9wx+oXMwsY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5919</Words>
  <Characters>3375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андрущенко</dc:creator>
  <cp:lastModifiedBy>ЛЕВАДНЮК Ірина Василівна</cp:lastModifiedBy>
  <cp:revision>72</cp:revision>
  <dcterms:created xsi:type="dcterms:W3CDTF">2021-03-26T13:25:00Z</dcterms:created>
  <dcterms:modified xsi:type="dcterms:W3CDTF">2021-09-02T12:53:00Z</dcterms:modified>
</cp:coreProperties>
</file>