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DC4C55" w:rsidRDefault="00DC4C55" w:rsidP="00DC4C55">
            <w:pPr>
              <w:widowControl/>
              <w:ind w:leftChars="0" w:left="3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25.10.2021 р. № 59-д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bookmarkStart w:id="0" w:name="_GoBack"/>
      <w:bookmarkEnd w:id="0"/>
      <w:r>
        <w:rPr>
          <w:b/>
          <w:sz w:val="28"/>
          <w:szCs w:val="28"/>
        </w:rPr>
        <w:br/>
        <w:t xml:space="preserve">проведення конкурсу </w:t>
      </w:r>
    </w:p>
    <w:p w:rsidR="00855BEC" w:rsidRPr="000E0B7F" w:rsidRDefault="00855BEC" w:rsidP="00855B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зайняття посади </w:t>
      </w:r>
      <w:r w:rsidRPr="001C5FD2">
        <w:rPr>
          <w:sz w:val="28"/>
          <w:szCs w:val="28"/>
        </w:rPr>
        <w:t>державн</w:t>
      </w:r>
      <w:r>
        <w:rPr>
          <w:sz w:val="28"/>
          <w:szCs w:val="28"/>
        </w:rPr>
        <w:t>ого</w:t>
      </w:r>
      <w:r w:rsidRPr="001C5FD2">
        <w:rPr>
          <w:sz w:val="28"/>
          <w:szCs w:val="28"/>
        </w:rPr>
        <w:t xml:space="preserve"> експерт</w:t>
      </w:r>
      <w:r>
        <w:rPr>
          <w:sz w:val="28"/>
          <w:szCs w:val="28"/>
        </w:rPr>
        <w:t>а</w:t>
      </w:r>
      <w:r w:rsidRPr="001C5FD2">
        <w:rPr>
          <w:sz w:val="28"/>
          <w:szCs w:val="28"/>
        </w:rPr>
        <w:t xml:space="preserve"> експертної групи </w:t>
      </w:r>
      <w:r>
        <w:rPr>
          <w:sz w:val="28"/>
          <w:szCs w:val="28"/>
        </w:rPr>
        <w:t xml:space="preserve">з розвитку людського капіталу                                                          директорату зайнятості та трудової міграції </w:t>
      </w:r>
      <w:r w:rsidRPr="00855BEC">
        <w:rPr>
          <w:sz w:val="28"/>
          <w:szCs w:val="28"/>
        </w:rPr>
        <w:t>(2 посади)</w:t>
      </w:r>
      <w:r w:rsidRPr="000E0B7F">
        <w:rPr>
          <w:sz w:val="28"/>
          <w:szCs w:val="28"/>
        </w:rPr>
        <w:t>, категорія</w:t>
      </w:r>
      <w:r>
        <w:rPr>
          <w:sz w:val="28"/>
          <w:szCs w:val="28"/>
        </w:rPr>
        <w:t xml:space="preserve"> «В»</w:t>
      </w:r>
    </w:p>
    <w:p w:rsidR="002259BB" w:rsidRDefault="002259BB" w:rsidP="000E0B7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16"/>
          <w:szCs w:val="16"/>
        </w:rPr>
      </w:pP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855BEC" w:rsidTr="00435D00">
        <w:trPr>
          <w:trHeight w:val="3953"/>
        </w:trPr>
        <w:tc>
          <w:tcPr>
            <w:tcW w:w="5118" w:type="dxa"/>
            <w:gridSpan w:val="2"/>
          </w:tcPr>
          <w:p w:rsidR="00855BEC" w:rsidRDefault="00855BEC" w:rsidP="00855B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bookmarkStart w:id="1" w:name="_heading=h.30j0zll" w:colFirst="0" w:colLast="0"/>
            <w:bookmarkEnd w:id="1"/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здійснення постійного аналізу стану справ у сфері експертної групи, включаючи політичні, правові, фінансові, організаційні та інші аспекти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здійснення аналізу нормативно-правових актів у сфері компетенції експертної групи з метою виявлення прогалин та неузгодженостей, узагальнення практики застосування законодавства, розроблення пропозицій щодо його вдосконалення та підготовка відповідних проектів законодавчих актів, актів Президента України та Кабінету Міністрів України, актів Мінекономіки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забезпечення опрацювання проектів нормативно-правових актів, які надійшли на погодження від інших органів, з питань, що належать до компетенції експертної групи, та підготовка проектів висновків Мінекономіки за результатами опрацювання проектів актів на предмет впливу реалізації актів на показники економічного і соціального розвитку, а також відповідності зобов’язанням України за Угодою про заснування Світової організації торгівлі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підготовка зауважень і пропозиції до прийнятих Верховною Радою України законів, що надійшли на підпис Президентові України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участь у визначенні економічних засад демографічного і соціального розвитку, розробленні прогнозів чисельності населення України за статево-віковою структурою, заробітної плати та ринку праці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 підготовка пропозицій щодо формування та реалізації державного замовлення на підготовку фахівців, наукових, науково-педагогічних та робітничих кадрів, підвищення кваліфікації та перепідготовку кадрів; здійснення координації робіт 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lastRenderedPageBreak/>
              <w:t>державних замовників щодо його розміщення та виконання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участь у проведенні аналізу економічної складової державної міграційної політики, проведенні економічному аналізі ефективності пенсійної системи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участь у процесі стратегічного планування, підготовка пропозицій до планів пріоритетних дій Уряду та планів діяльності Мінекономіки з питань, що належать до компетенції експертної групи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; </w:t>
            </w:r>
          </w:p>
          <w:p w:rsidR="00855BEC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вивчення європейського досвіду у сфері компетенції експертної групи, здійснення обміну досвідом щодо формування політики у сфері компетенції експертної групи з експертами інших країн, участь у засіданнях профільних міжнародних організацій, членом яких є Україна, у визначеному законодавством порядку</w:t>
            </w: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855BEC" w:rsidRPr="00014F16" w:rsidRDefault="00855BEC" w:rsidP="00855BEC">
            <w:pPr>
              <w:pStyle w:val="ad"/>
              <w:spacing w:before="0" w:beforeAutospacing="0" w:after="0" w:afterAutospacing="0"/>
              <w:ind w:leftChars="0" w:left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A05624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участь у заходах з інформування громадськості щодо засад державної політики у сфері трудової міграції, надання необхідних роз’яснень в межах компетенції експертної групи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sz w:val="28"/>
                <w:szCs w:val="28"/>
              </w:rPr>
              <w:t xml:space="preserve">посадовий оклад – </w:t>
            </w:r>
            <w:r w:rsidR="002259BB" w:rsidRPr="00963799">
              <w:rPr>
                <w:rFonts w:eastAsia="Calibri"/>
                <w:sz w:val="28"/>
                <w:szCs w:val="28"/>
              </w:rPr>
              <w:t>1</w:t>
            </w:r>
            <w:r w:rsidR="00A05624">
              <w:rPr>
                <w:rFonts w:eastAsia="Calibri"/>
                <w:sz w:val="28"/>
                <w:szCs w:val="28"/>
              </w:rPr>
              <w:t>0</w:t>
            </w:r>
            <w:r w:rsidR="002259BB" w:rsidRPr="00963799">
              <w:rPr>
                <w:rFonts w:eastAsia="Calibri"/>
                <w:sz w:val="28"/>
                <w:szCs w:val="28"/>
              </w:rPr>
              <w:t> </w:t>
            </w:r>
            <w:r w:rsidR="00CA305E">
              <w:rPr>
                <w:rFonts w:eastAsia="Calibri"/>
                <w:sz w:val="28"/>
                <w:szCs w:val="28"/>
              </w:rPr>
              <w:t>6</w:t>
            </w:r>
            <w:r w:rsidR="002259BB" w:rsidRPr="00963799">
              <w:rPr>
                <w:rFonts w:eastAsia="Calibri"/>
                <w:sz w:val="28"/>
                <w:szCs w:val="28"/>
              </w:rPr>
              <w:t>00</w:t>
            </w:r>
            <w:r w:rsidR="002259BB" w:rsidRPr="005B714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 w:rsidP="002C312B">
            <w:pPr>
              <w:widowControl/>
              <w:shd w:val="clear" w:color="auto" w:fill="FFFFFF" w:themeFill="background1"/>
              <w:ind w:left="1" w:hanging="3"/>
              <w:rPr>
                <w:sz w:val="28"/>
                <w:szCs w:val="28"/>
              </w:rPr>
            </w:pPr>
            <w:r w:rsidRPr="002C312B">
              <w:rPr>
                <w:sz w:val="28"/>
                <w:szCs w:val="28"/>
              </w:rPr>
              <w:t>безстроково;</w:t>
            </w:r>
          </w:p>
          <w:p w:rsidR="007E78BB" w:rsidRDefault="003E0301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</w:t>
            </w:r>
            <w:r w:rsidR="00C941E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E78BB" w:rsidRDefault="00AE0F79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</w:t>
            </w:r>
            <w:r w:rsidR="00CC65B7">
              <w:rPr>
                <w:sz w:val="28"/>
                <w:szCs w:val="28"/>
              </w:rPr>
              <w:t>;</w:t>
            </w:r>
          </w:p>
          <w:p w:rsidR="00CC65B7" w:rsidRDefault="00CC65B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="007D2E0C" w:rsidRPr="007D2E0C">
              <w:rPr>
                <w:sz w:val="28"/>
                <w:szCs w:val="28"/>
              </w:rPr>
              <w:t>копі</w:t>
            </w:r>
            <w:r w:rsidR="007D2E0C">
              <w:rPr>
                <w:sz w:val="28"/>
                <w:szCs w:val="28"/>
              </w:rPr>
              <w:t>я</w:t>
            </w:r>
            <w:r w:rsidR="007D2E0C"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064668">
              <w:rPr>
                <w:sz w:val="28"/>
                <w:szCs w:val="28"/>
              </w:rPr>
              <w:t>.</w:t>
            </w:r>
          </w:p>
          <w:p w:rsidR="00064668" w:rsidRPr="00CC65B7" w:rsidRDefault="0006466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 w:rsidR="004C0EF8">
              <w:rPr>
                <w:sz w:val="28"/>
                <w:szCs w:val="28"/>
              </w:rPr>
              <w:t xml:space="preserve"> (додаток </w:t>
            </w:r>
            <w:r w:rsidR="00D27776">
              <w:rPr>
                <w:sz w:val="28"/>
                <w:szCs w:val="28"/>
              </w:rPr>
              <w:t>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81F13">
              <w:rPr>
                <w:sz w:val="28"/>
                <w:szCs w:val="28"/>
              </w:rPr>
              <w:t>Інформація приймається до 18 год. 00 хв. 01 листопада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1F" w:rsidRPr="00686C1F" w:rsidRDefault="00686C1F" w:rsidP="00686C1F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686C1F">
              <w:rPr>
                <w:sz w:val="28"/>
                <w:szCs w:val="28"/>
              </w:rPr>
              <w:t>-</w:t>
            </w:r>
            <w:r w:rsidR="00A22A51">
              <w:rPr>
                <w:sz w:val="28"/>
                <w:szCs w:val="28"/>
              </w:rPr>
              <w:t xml:space="preserve"> </w:t>
            </w:r>
            <w:r w:rsidRPr="00686C1F">
              <w:rPr>
                <w:sz w:val="28"/>
                <w:szCs w:val="28"/>
              </w:rPr>
              <w:t>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7E78BB" w:rsidRDefault="00686C1F" w:rsidP="00686C1F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686C1F">
              <w:rPr>
                <w:sz w:val="28"/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 w:rsidTr="00A05624">
        <w:trPr>
          <w:trHeight w:val="4606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686C1F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д</w:t>
            </w:r>
            <w:r w:rsidR="00AE0F79">
              <w:rPr>
                <w:sz w:val="28"/>
                <w:szCs w:val="28"/>
              </w:rPr>
              <w:t>ата і час початку проведення тестування</w:t>
            </w:r>
          </w:p>
          <w:p w:rsidR="00B2129A" w:rsidRDefault="00B2129A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686C1F">
            <w:pPr>
              <w:widowControl/>
              <w:ind w:left="1" w:hanging="3"/>
              <w:rPr>
                <w:sz w:val="28"/>
                <w:szCs w:val="28"/>
              </w:rPr>
            </w:pPr>
            <w:r w:rsidRPr="00686C1F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 w:rsidP="00A05624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3" w:rsidRDefault="00B81F13" w:rsidP="00B81F13">
            <w:pPr>
              <w:widowControl/>
              <w:ind w:leftChars="0" w:left="3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Центр оцінювання кандидатів на зайняття посад державної служби, м. Київ, </w:t>
            </w:r>
            <w:r w:rsidR="00D031B0">
              <w:rPr>
                <w:sz w:val="28"/>
                <w:szCs w:val="28"/>
                <w:highlight w:val="white"/>
              </w:rPr>
              <w:t xml:space="preserve">              </w:t>
            </w:r>
            <w:r>
              <w:rPr>
                <w:sz w:val="28"/>
                <w:szCs w:val="28"/>
                <w:highlight w:val="white"/>
              </w:rPr>
              <w:t>вул. Прорізна, 15; 11 листопада 2021 року о 09 год. 30 хв</w:t>
            </w:r>
            <w:r w:rsidR="00872F42">
              <w:rPr>
                <w:sz w:val="28"/>
                <w:szCs w:val="28"/>
                <w:highlight w:val="white"/>
              </w:rPr>
              <w:t>.</w:t>
            </w:r>
          </w:p>
          <w:p w:rsidR="00B2129A" w:rsidRDefault="00B2129A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2129A" w:rsidRDefault="00B2129A">
            <w:pPr>
              <w:widowControl/>
              <w:ind w:left="1" w:hanging="3"/>
              <w:jc w:val="both"/>
              <w:rPr>
                <w:color w:val="auto"/>
                <w:position w:val="0"/>
                <w:sz w:val="28"/>
                <w:shd w:val="clear" w:color="auto" w:fill="FFFFFF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>
              <w:rPr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9A" w:rsidRDefault="00B2129A" w:rsidP="00B2129A">
            <w:pPr>
              <w:widowControl/>
              <w:ind w:leftChars="0" w:left="3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B2129A" w:rsidRDefault="00B2129A" w:rsidP="00B2129A">
            <w:pPr>
              <w:widowControl/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(044) 200-47-52, nkashuba@me.gov.ua</w:t>
            </w:r>
          </w:p>
          <w:p w:rsidR="007E78BB" w:rsidRDefault="007E78BB" w:rsidP="00792EF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7E78BB" w:rsidTr="00DF67D3">
        <w:trPr>
          <w:trHeight w:val="1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05624">
            <w:pPr>
              <w:widowControl/>
              <w:ind w:left="1" w:hanging="3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7E78BB" w:rsidTr="00DF67D3">
        <w:trPr>
          <w:trHeight w:val="2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05624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не потребує</w:t>
            </w:r>
          </w:p>
        </w:tc>
      </w:tr>
      <w:tr w:rsidR="007E78BB" w:rsidTr="00DF67D3">
        <w:trPr>
          <w:trHeight w:val="1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A05624" w:rsidTr="00C26751">
        <w:trPr>
          <w:trHeight w:val="1110"/>
        </w:trPr>
        <w:tc>
          <w:tcPr>
            <w:tcW w:w="936" w:type="dxa"/>
          </w:tcPr>
          <w:p w:rsidR="00A05624" w:rsidRPr="00B2129A" w:rsidRDefault="00A05624" w:rsidP="00A05624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A05624" w:rsidRPr="00A05624" w:rsidRDefault="00A05624" w:rsidP="00A05624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10205" w:type="dxa"/>
            <w:shd w:val="clear" w:color="auto" w:fill="auto"/>
          </w:tcPr>
          <w:p w:rsidR="00A05624" w:rsidRPr="00A05624" w:rsidRDefault="00A05624" w:rsidP="009B71F4">
            <w:pPr>
              <w:widowControl/>
              <w:ind w:left="1" w:hanging="3"/>
              <w:jc w:val="both"/>
              <w:textDirection w:val="lrTb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-</w:t>
            </w:r>
            <w:r w:rsidR="00A30FBA">
              <w:rPr>
                <w:sz w:val="28"/>
                <w:szCs w:val="28"/>
              </w:rPr>
              <w:t> </w:t>
            </w:r>
            <w:r w:rsidRPr="00A05624">
              <w:rPr>
                <w:sz w:val="28"/>
                <w:szCs w:val="28"/>
              </w:rPr>
              <w:t>здатність узагальнювати інформацію, у тому числі з урахуванням гендерної статистики;</w:t>
            </w:r>
            <w:r w:rsidRPr="00A05624">
              <w:rPr>
                <w:sz w:val="28"/>
                <w:szCs w:val="28"/>
              </w:rPr>
              <w:br/>
              <w:t>-</w:t>
            </w:r>
            <w:r w:rsidR="009B71F4">
              <w:rPr>
                <w:sz w:val="28"/>
                <w:szCs w:val="28"/>
              </w:rPr>
              <w:t> </w:t>
            </w:r>
            <w:r w:rsidRPr="00A05624">
              <w:rPr>
                <w:sz w:val="28"/>
                <w:szCs w:val="28"/>
              </w:rPr>
              <w:t>здатність</w:t>
            </w:r>
            <w:r w:rsidR="009B71F4">
              <w:rPr>
                <w:sz w:val="28"/>
                <w:szCs w:val="28"/>
              </w:rPr>
              <w:t> </w:t>
            </w:r>
            <w:r w:rsidRPr="00A05624">
              <w:rPr>
                <w:sz w:val="28"/>
                <w:szCs w:val="28"/>
              </w:rPr>
              <w:t>встановлювати</w:t>
            </w:r>
            <w:r w:rsidR="009B71F4">
              <w:rPr>
                <w:sz w:val="28"/>
                <w:szCs w:val="28"/>
              </w:rPr>
              <w:t> </w:t>
            </w:r>
            <w:r w:rsidRPr="00A05624">
              <w:rPr>
                <w:sz w:val="28"/>
                <w:szCs w:val="28"/>
              </w:rPr>
              <w:t>логічні</w:t>
            </w:r>
            <w:r w:rsidR="009B71F4">
              <w:rPr>
                <w:sz w:val="28"/>
                <w:szCs w:val="28"/>
              </w:rPr>
              <w:t> </w:t>
            </w:r>
            <w:r w:rsidRPr="00A05624">
              <w:rPr>
                <w:sz w:val="28"/>
                <w:szCs w:val="28"/>
              </w:rPr>
              <w:t>взаємозв’язки;</w:t>
            </w:r>
            <w:r w:rsidRPr="00A05624">
              <w:rPr>
                <w:sz w:val="28"/>
                <w:szCs w:val="28"/>
              </w:rPr>
              <w:br/>
              <w:t>- здатність робити коректні висновки</w:t>
            </w:r>
          </w:p>
        </w:tc>
      </w:tr>
      <w:tr w:rsidR="00A05624" w:rsidTr="00C26751">
        <w:trPr>
          <w:trHeight w:val="380"/>
        </w:trPr>
        <w:tc>
          <w:tcPr>
            <w:tcW w:w="936" w:type="dxa"/>
          </w:tcPr>
          <w:p w:rsidR="00A05624" w:rsidRPr="00B2129A" w:rsidRDefault="00A05624" w:rsidP="00A05624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A05624" w:rsidRPr="00A05624" w:rsidRDefault="00A05624" w:rsidP="00A05624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10205" w:type="dxa"/>
            <w:shd w:val="clear" w:color="auto" w:fill="auto"/>
          </w:tcPr>
          <w:p w:rsidR="00A05624" w:rsidRPr="00A05624" w:rsidRDefault="00A05624" w:rsidP="00A05624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- вміння слухати та сприймати думки;</w:t>
            </w:r>
            <w:r w:rsidRPr="00A05624">
              <w:rPr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 w:rsidRPr="00A05624">
              <w:rPr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 w:rsidRPr="00A05624">
              <w:rPr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A05624" w:rsidTr="00C26751">
        <w:trPr>
          <w:trHeight w:val="684"/>
        </w:trPr>
        <w:tc>
          <w:tcPr>
            <w:tcW w:w="936" w:type="dxa"/>
          </w:tcPr>
          <w:p w:rsidR="00A05624" w:rsidRPr="00B2129A" w:rsidRDefault="00A05624" w:rsidP="00A05624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A05624" w:rsidRPr="00A05624" w:rsidRDefault="00A05624" w:rsidP="00A05624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05" w:type="dxa"/>
            <w:shd w:val="clear" w:color="auto" w:fill="auto"/>
          </w:tcPr>
          <w:p w:rsidR="00A05624" w:rsidRPr="00A05624" w:rsidRDefault="00A05624" w:rsidP="00A05624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- чітке бачення результату;</w:t>
            </w:r>
            <w:r w:rsidRPr="00A05624">
              <w:rPr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 w:rsidRPr="00A05624">
              <w:rPr>
                <w:sz w:val="28"/>
                <w:szCs w:val="28"/>
              </w:rPr>
              <w:br/>
              <w:t>- запобігання та ефективне подолання перешкод;</w:t>
            </w:r>
            <w:r w:rsidRPr="00A05624">
              <w:rPr>
                <w:sz w:val="28"/>
                <w:szCs w:val="28"/>
              </w:rPr>
              <w:br/>
              <w:t>- навички планування своєї роботи;</w:t>
            </w:r>
            <w:r w:rsidRPr="00A05624">
              <w:rPr>
                <w:sz w:val="28"/>
                <w:szCs w:val="28"/>
              </w:rPr>
              <w:br/>
              <w:t>- дисципліна та відповідальність за виконання своїх задач</w:t>
            </w:r>
          </w:p>
        </w:tc>
      </w:tr>
      <w:tr w:rsidR="00A05624" w:rsidTr="00C26751">
        <w:trPr>
          <w:trHeight w:val="684"/>
        </w:trPr>
        <w:tc>
          <w:tcPr>
            <w:tcW w:w="936" w:type="dxa"/>
          </w:tcPr>
          <w:p w:rsidR="00A05624" w:rsidRPr="00B2129A" w:rsidRDefault="00A05624" w:rsidP="00A05624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A05624" w:rsidRPr="00A05624" w:rsidRDefault="00A05624" w:rsidP="00A05624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proofErr w:type="spellStart"/>
            <w:r w:rsidRPr="00A05624">
              <w:rPr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10205" w:type="dxa"/>
            <w:shd w:val="clear" w:color="auto" w:fill="auto"/>
          </w:tcPr>
          <w:p w:rsidR="00A05624" w:rsidRPr="00A05624" w:rsidRDefault="00A05624" w:rsidP="00A05624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A05624">
              <w:rPr>
                <w:sz w:val="28"/>
                <w:szCs w:val="28"/>
              </w:rPr>
              <w:t>- розуміння своїх емоцій;</w:t>
            </w:r>
            <w:r w:rsidRPr="00A05624">
              <w:rPr>
                <w:sz w:val="28"/>
                <w:szCs w:val="28"/>
              </w:rPr>
              <w:br/>
              <w:t>- управління своїми емоціями;</w:t>
            </w:r>
            <w:r w:rsidRPr="00A05624">
              <w:rPr>
                <w:sz w:val="28"/>
                <w:szCs w:val="28"/>
              </w:rPr>
              <w:br/>
              <w:t>- оптимізм</w:t>
            </w:r>
          </w:p>
        </w:tc>
      </w:tr>
      <w:tr w:rsidR="00686C1F" w:rsidTr="00C26751">
        <w:trPr>
          <w:trHeight w:val="684"/>
        </w:trPr>
        <w:tc>
          <w:tcPr>
            <w:tcW w:w="936" w:type="dxa"/>
          </w:tcPr>
          <w:p w:rsidR="00686C1F" w:rsidRPr="00B2129A" w:rsidRDefault="00686C1F" w:rsidP="00B2129A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686C1F" w:rsidRPr="00B2129A" w:rsidRDefault="00686C1F" w:rsidP="00B2129A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Абстрактне мислення</w:t>
            </w:r>
          </w:p>
        </w:tc>
        <w:tc>
          <w:tcPr>
            <w:tcW w:w="10205" w:type="dxa"/>
            <w:shd w:val="clear" w:color="auto" w:fill="auto"/>
          </w:tcPr>
          <w:p w:rsidR="00686C1F" w:rsidRPr="00B2129A" w:rsidRDefault="00686C1F" w:rsidP="00B2129A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- здатність до логічного мислення;</w:t>
            </w:r>
            <w:r w:rsidRPr="00B2129A">
              <w:rPr>
                <w:sz w:val="28"/>
                <w:szCs w:val="28"/>
              </w:rPr>
              <w:br/>
              <w:t>- вміння встановлювати причинно-наслідкові зв’язки</w:t>
            </w:r>
          </w:p>
        </w:tc>
      </w:tr>
      <w:tr w:rsidR="00686C1F" w:rsidTr="00FE7C29">
        <w:trPr>
          <w:trHeight w:val="152"/>
        </w:trPr>
        <w:tc>
          <w:tcPr>
            <w:tcW w:w="936" w:type="dxa"/>
          </w:tcPr>
          <w:p w:rsidR="00686C1F" w:rsidRPr="00B2129A" w:rsidRDefault="00686C1F" w:rsidP="00B2129A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686C1F" w:rsidRPr="00B2129A" w:rsidRDefault="00686C1F" w:rsidP="00B2129A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Вербальне мислення</w:t>
            </w:r>
          </w:p>
        </w:tc>
        <w:tc>
          <w:tcPr>
            <w:tcW w:w="10205" w:type="dxa"/>
            <w:shd w:val="clear" w:color="auto" w:fill="auto"/>
          </w:tcPr>
          <w:p w:rsidR="00B2129A" w:rsidRPr="00B2129A" w:rsidRDefault="00686C1F" w:rsidP="00955880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- здатність розуміти та працювати з текстовою інформацією</w:t>
            </w:r>
          </w:p>
        </w:tc>
      </w:tr>
      <w:tr w:rsidR="00686C1F">
        <w:tc>
          <w:tcPr>
            <w:tcW w:w="15323" w:type="dxa"/>
            <w:gridSpan w:val="3"/>
            <w:vAlign w:val="center"/>
          </w:tcPr>
          <w:p w:rsidR="00686C1F" w:rsidRDefault="00686C1F" w:rsidP="00686C1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686C1F" w:rsidTr="00731AB9">
        <w:trPr>
          <w:trHeight w:val="174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6C1F" w:rsidRDefault="00686C1F" w:rsidP="00686C1F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1F" w:rsidRDefault="00686C1F" w:rsidP="00686C1F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686C1F" w:rsidTr="00FE7C29">
        <w:trPr>
          <w:trHeight w:val="125"/>
        </w:trPr>
        <w:tc>
          <w:tcPr>
            <w:tcW w:w="936" w:type="dxa"/>
          </w:tcPr>
          <w:p w:rsidR="00686C1F" w:rsidRDefault="00686C1F" w:rsidP="00686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686C1F" w:rsidRDefault="00686C1F" w:rsidP="00686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686C1F" w:rsidRDefault="00686C1F" w:rsidP="0068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686C1F" w:rsidRDefault="00686C1F" w:rsidP="0068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686C1F" w:rsidRDefault="00686C1F" w:rsidP="0068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686C1F" w:rsidRDefault="00686C1F" w:rsidP="00686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855BEC" w:rsidTr="00982316">
        <w:trPr>
          <w:trHeight w:val="171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EC" w:rsidRDefault="00855BEC" w:rsidP="00855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3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Знання:</w:t>
            </w:r>
          </w:p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Закону України «Про формування та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кадрів»;</w:t>
            </w:r>
          </w:p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Закону України «Про загальнообов'язкове державне пенсійне страхування»;</w:t>
            </w:r>
          </w:p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постанови КМУ від 15</w:t>
            </w:r>
            <w:r w:rsidR="00C912B8">
              <w:rPr>
                <w:sz w:val="28"/>
                <w:szCs w:val="28"/>
                <w:lang w:eastAsia="en-US"/>
              </w:rPr>
              <w:t>.04.</w:t>
            </w:r>
            <w:r>
              <w:rPr>
                <w:sz w:val="28"/>
                <w:szCs w:val="28"/>
                <w:lang w:eastAsia="en-US"/>
              </w:rPr>
              <w:t>2013 № 306 «Про затвердження Порядку формування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</w:t>
            </w:r>
          </w:p>
        </w:tc>
      </w:tr>
      <w:tr w:rsidR="00855BEC" w:rsidTr="00982316">
        <w:trPr>
          <w:trHeight w:val="8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EC" w:rsidRDefault="00855BEC" w:rsidP="00855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3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 w:rsidRPr="00855BEC">
              <w:rPr>
                <w:sz w:val="28"/>
                <w:szCs w:val="28"/>
              </w:rPr>
              <w:t>Знання у сферах розвитку людського капіталу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знання </w:t>
            </w:r>
            <w:r>
              <w:rPr>
                <w:sz w:val="28"/>
                <w:szCs w:val="28"/>
                <w:lang w:eastAsia="en-US"/>
              </w:rPr>
              <w:t>особливостей відносин, що виникають у зв’язку з формуванням і розміщенням державного замовлення на підготовку фахівців, наукових, науково-педагогічних та робітничих кадрів, підвищення кваліфікації та перепідготовку кадрів;</w:t>
            </w:r>
          </w:p>
          <w:p w:rsidR="00855BEC" w:rsidRDefault="00855BEC" w:rsidP="00855BEC">
            <w:pPr>
              <w:spacing w:line="252" w:lineRule="auto"/>
              <w:ind w:leftChars="0" w:firstLineChars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 знання проблематики у сфері загальнообов’язкового державного пенсійного страхування</w:t>
            </w:r>
          </w:p>
        </w:tc>
      </w:tr>
    </w:tbl>
    <w:p w:rsidR="007E78BB" w:rsidRDefault="007E78BB" w:rsidP="004102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7E78BB" w:rsidSect="00435D00">
      <w:pgSz w:w="16838" w:h="11906" w:orient="landscape"/>
      <w:pgMar w:top="426" w:right="539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1309"/>
    <w:multiLevelType w:val="hybridMultilevel"/>
    <w:tmpl w:val="FE2473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B3C9E"/>
    <w:multiLevelType w:val="hybridMultilevel"/>
    <w:tmpl w:val="54A6E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233C"/>
    <w:multiLevelType w:val="hybridMultilevel"/>
    <w:tmpl w:val="C8C6E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3E71"/>
    <w:multiLevelType w:val="hybridMultilevel"/>
    <w:tmpl w:val="48F2E9EE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14F16"/>
    <w:rsid w:val="00064668"/>
    <w:rsid w:val="000A612A"/>
    <w:rsid w:val="000B2437"/>
    <w:rsid w:val="000E0B7F"/>
    <w:rsid w:val="00131DE8"/>
    <w:rsid w:val="00132178"/>
    <w:rsid w:val="00140C69"/>
    <w:rsid w:val="00145769"/>
    <w:rsid w:val="001A10AC"/>
    <w:rsid w:val="001C5FD2"/>
    <w:rsid w:val="001F3FD2"/>
    <w:rsid w:val="00207D96"/>
    <w:rsid w:val="002259BB"/>
    <w:rsid w:val="00273D41"/>
    <w:rsid w:val="002C312B"/>
    <w:rsid w:val="002D0C96"/>
    <w:rsid w:val="0032702F"/>
    <w:rsid w:val="00354F57"/>
    <w:rsid w:val="003921CF"/>
    <w:rsid w:val="003E0301"/>
    <w:rsid w:val="003F2C36"/>
    <w:rsid w:val="004102C6"/>
    <w:rsid w:val="00434D8D"/>
    <w:rsid w:val="00435D00"/>
    <w:rsid w:val="004769C1"/>
    <w:rsid w:val="00477850"/>
    <w:rsid w:val="004C0EF8"/>
    <w:rsid w:val="004E3BBC"/>
    <w:rsid w:val="00552A90"/>
    <w:rsid w:val="00565F78"/>
    <w:rsid w:val="00613AD9"/>
    <w:rsid w:val="0063387B"/>
    <w:rsid w:val="00644D93"/>
    <w:rsid w:val="00673860"/>
    <w:rsid w:val="00686C1F"/>
    <w:rsid w:val="006B2ECF"/>
    <w:rsid w:val="006C5E03"/>
    <w:rsid w:val="00731AB9"/>
    <w:rsid w:val="00792EF3"/>
    <w:rsid w:val="007D2E0C"/>
    <w:rsid w:val="007E78BB"/>
    <w:rsid w:val="007F7469"/>
    <w:rsid w:val="00830C83"/>
    <w:rsid w:val="00855BEC"/>
    <w:rsid w:val="00872F42"/>
    <w:rsid w:val="00934156"/>
    <w:rsid w:val="00955880"/>
    <w:rsid w:val="00963799"/>
    <w:rsid w:val="00986F69"/>
    <w:rsid w:val="009B71F4"/>
    <w:rsid w:val="009C5455"/>
    <w:rsid w:val="00A05624"/>
    <w:rsid w:val="00A22A51"/>
    <w:rsid w:val="00A30FBA"/>
    <w:rsid w:val="00AD25B7"/>
    <w:rsid w:val="00AD79A4"/>
    <w:rsid w:val="00AE0F79"/>
    <w:rsid w:val="00B104E0"/>
    <w:rsid w:val="00B2129A"/>
    <w:rsid w:val="00B54917"/>
    <w:rsid w:val="00B72402"/>
    <w:rsid w:val="00B81F13"/>
    <w:rsid w:val="00C036B2"/>
    <w:rsid w:val="00C51FE5"/>
    <w:rsid w:val="00C5255C"/>
    <w:rsid w:val="00C912B8"/>
    <w:rsid w:val="00C941E4"/>
    <w:rsid w:val="00C964CB"/>
    <w:rsid w:val="00CA305E"/>
    <w:rsid w:val="00CC65B7"/>
    <w:rsid w:val="00CE3D0C"/>
    <w:rsid w:val="00D031B0"/>
    <w:rsid w:val="00D154FD"/>
    <w:rsid w:val="00D25827"/>
    <w:rsid w:val="00D27776"/>
    <w:rsid w:val="00D83A7D"/>
    <w:rsid w:val="00D874E3"/>
    <w:rsid w:val="00D9302E"/>
    <w:rsid w:val="00DC4C55"/>
    <w:rsid w:val="00DF67D3"/>
    <w:rsid w:val="00E71CCC"/>
    <w:rsid w:val="00E826E3"/>
    <w:rsid w:val="00EB7D40"/>
    <w:rsid w:val="00F01CF2"/>
    <w:rsid w:val="00F77B97"/>
    <w:rsid w:val="00FA2669"/>
    <w:rsid w:val="00FA28F4"/>
    <w:rsid w:val="00FA769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DA8E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a">
    <w:name w:val="Нормальний текст"/>
    <w:basedOn w:val="a"/>
    <w:rsid w:val="00686C1F"/>
    <w:pPr>
      <w:widowControl/>
      <w:suppressAutoHyphens w:val="0"/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hAnsi="Antiqua"/>
      <w:color w:val="auto"/>
      <w:position w:val="0"/>
      <w:sz w:val="26"/>
      <w:lang w:eastAsia="ru-RU"/>
    </w:rPr>
  </w:style>
  <w:style w:type="character" w:customStyle="1" w:styleId="st42">
    <w:name w:val="st42"/>
    <w:uiPriority w:val="99"/>
    <w:rsid w:val="00686C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5591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андрущенко</dc:creator>
  <cp:lastModifiedBy>Кашуба Наталія Анатоліївна</cp:lastModifiedBy>
  <cp:revision>20</cp:revision>
  <cp:lastPrinted>2021-09-01T16:09:00Z</cp:lastPrinted>
  <dcterms:created xsi:type="dcterms:W3CDTF">2021-10-23T11:23:00Z</dcterms:created>
  <dcterms:modified xsi:type="dcterms:W3CDTF">2021-10-25T08:52:00Z</dcterms:modified>
</cp:coreProperties>
</file>