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B9" w:rsidRPr="00202A8F" w:rsidRDefault="00B008B9" w:rsidP="00202A8F">
      <w:pPr>
        <w:spacing w:after="0" w:line="360" w:lineRule="auto"/>
        <w:jc w:val="center"/>
        <w:outlineLvl w:val="0"/>
        <w:rPr>
          <w:rFonts w:ascii="Times New Roman" w:hAnsi="Times New Roman" w:cs="Times New Roman"/>
          <w:b/>
          <w:bCs/>
          <w:sz w:val="28"/>
          <w:szCs w:val="28"/>
          <w:lang w:val="en-US" w:eastAsia="uk-UA"/>
        </w:rP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left:0;text-align:left;margin-left:-75pt;margin-top:-86.3pt;width:598.6pt;height:846.4pt;z-index:251658240;visibility:visible">
            <v:imagedata r:id="rId7" o:title=""/>
            <w10:wrap type="square"/>
          </v:shape>
        </w:pict>
      </w:r>
    </w:p>
    <w:p w:rsidR="00B008B9" w:rsidRPr="00FB7FB3" w:rsidRDefault="00B008B9" w:rsidP="002E66D6">
      <w:pPr>
        <w:spacing w:after="0" w:line="360" w:lineRule="auto"/>
        <w:jc w:val="center"/>
        <w:outlineLvl w:val="0"/>
        <w:rPr>
          <w:rFonts w:ascii="Times New Roman" w:hAnsi="Times New Roman" w:cs="Times New Roman"/>
          <w:b/>
          <w:bCs/>
          <w:sz w:val="28"/>
          <w:szCs w:val="28"/>
          <w:lang w:eastAsia="uk-UA"/>
        </w:rPr>
      </w:pPr>
      <w:r w:rsidRPr="00FB7FB3">
        <w:rPr>
          <w:rFonts w:ascii="Times New Roman" w:hAnsi="Times New Roman" w:cs="Times New Roman"/>
          <w:b/>
          <w:bCs/>
          <w:sz w:val="28"/>
          <w:szCs w:val="28"/>
          <w:lang w:eastAsia="uk-UA"/>
        </w:rPr>
        <w:t>ЗВІТ</w:t>
      </w:r>
    </w:p>
    <w:p w:rsidR="00B008B9" w:rsidRPr="00FB7FB3" w:rsidRDefault="00B008B9" w:rsidP="002E66D6">
      <w:pPr>
        <w:spacing w:after="0" w:line="360" w:lineRule="auto"/>
        <w:jc w:val="center"/>
        <w:outlineLvl w:val="0"/>
        <w:rPr>
          <w:rFonts w:ascii="Times New Roman" w:hAnsi="Times New Roman" w:cs="Times New Roman"/>
          <w:b/>
          <w:bCs/>
          <w:sz w:val="28"/>
          <w:szCs w:val="28"/>
          <w:lang w:eastAsia="uk-UA"/>
        </w:rPr>
      </w:pPr>
      <w:r w:rsidRPr="00FB7FB3">
        <w:rPr>
          <w:rFonts w:ascii="Times New Roman" w:hAnsi="Times New Roman" w:cs="Times New Roman"/>
          <w:b/>
          <w:bCs/>
          <w:sz w:val="28"/>
          <w:szCs w:val="28"/>
          <w:lang w:eastAsia="uk-UA"/>
        </w:rPr>
        <w:t>щодо аналізу функціонування системи державних закупівель</w:t>
      </w:r>
    </w:p>
    <w:p w:rsidR="00B008B9" w:rsidRPr="00353F14" w:rsidRDefault="00B008B9" w:rsidP="002E66D6">
      <w:pPr>
        <w:spacing w:after="0" w:line="360" w:lineRule="auto"/>
        <w:jc w:val="center"/>
        <w:outlineLvl w:val="0"/>
        <w:rPr>
          <w:rFonts w:ascii="Times New Roman" w:hAnsi="Times New Roman" w:cs="Times New Roman"/>
          <w:b/>
          <w:bCs/>
          <w:sz w:val="28"/>
          <w:szCs w:val="28"/>
          <w:lang w:val="ru-RU" w:eastAsia="uk-UA"/>
        </w:rPr>
      </w:pPr>
      <w:r w:rsidRPr="00FB7FB3">
        <w:rPr>
          <w:rFonts w:ascii="Times New Roman" w:hAnsi="Times New Roman" w:cs="Times New Roman"/>
          <w:b/>
          <w:bCs/>
          <w:sz w:val="28"/>
          <w:szCs w:val="28"/>
          <w:lang w:eastAsia="uk-UA"/>
        </w:rPr>
        <w:t>за</w:t>
      </w:r>
      <w:r w:rsidRPr="008A4975">
        <w:rPr>
          <w:rFonts w:ascii="Times New Roman" w:hAnsi="Times New Roman" w:cs="Times New Roman"/>
          <w:b/>
          <w:bCs/>
          <w:sz w:val="28"/>
          <w:szCs w:val="28"/>
          <w:lang w:val="ru-RU" w:eastAsia="uk-UA"/>
        </w:rPr>
        <w:t xml:space="preserve"> </w:t>
      </w:r>
      <w:r>
        <w:rPr>
          <w:rFonts w:ascii="Times New Roman" w:hAnsi="Times New Roman" w:cs="Times New Roman"/>
          <w:b/>
          <w:bCs/>
          <w:sz w:val="28"/>
          <w:szCs w:val="28"/>
          <w:lang w:eastAsia="uk-UA"/>
        </w:rPr>
        <w:t>січень-грудень 2015 року</w:t>
      </w:r>
    </w:p>
    <w:p w:rsidR="00B008B9" w:rsidRPr="0052003E" w:rsidRDefault="00B008B9" w:rsidP="002E66D6">
      <w:pPr>
        <w:spacing w:line="360" w:lineRule="auto"/>
      </w:pPr>
    </w:p>
    <w:p w:rsidR="00B008B9" w:rsidRPr="00CB2F74" w:rsidRDefault="00B008B9" w:rsidP="002E66D6">
      <w:pPr>
        <w:spacing w:after="120" w:line="360" w:lineRule="auto"/>
        <w:jc w:val="center"/>
        <w:outlineLvl w:val="0"/>
        <w:rPr>
          <w:rFonts w:ascii="Times New Roman" w:hAnsi="Times New Roman" w:cs="Times New Roman"/>
          <w:b/>
          <w:bCs/>
          <w:sz w:val="28"/>
          <w:szCs w:val="28"/>
          <w:lang w:eastAsia="uk-UA"/>
        </w:rPr>
      </w:pPr>
      <w:r w:rsidRPr="00CB2F74">
        <w:rPr>
          <w:rFonts w:ascii="Times New Roman" w:hAnsi="Times New Roman" w:cs="Times New Roman"/>
          <w:b/>
          <w:bCs/>
          <w:sz w:val="28"/>
          <w:szCs w:val="28"/>
          <w:lang w:eastAsia="uk-UA"/>
        </w:rPr>
        <w:t>Нормативно-правове регулювання сфери державних закупівель</w:t>
      </w: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У 2015 році правове регулювання системи державних закупівель здійснювалося відповідно до Закону України “Про здійснення державних закупівель” (далі - Закон), метою якого є створення конкурентного середовища у сфері державних закупівель, запобігання проявам корупції у цій сфері, розвиток добросовісної конкуренції, та Закону України “Про особливості здійснення закупівель в окремих сферах господарської діяльності”, яким встановлено правові та економічні засади здійснення закупівель замовниками, що провадять свою діяльність у сферах, визначених зазначеним Законом.</w:t>
      </w: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У</w:t>
      </w:r>
      <w:r w:rsidRPr="000E52B4">
        <w:rPr>
          <w:rFonts w:ascii="Times New Roman" w:hAnsi="Times New Roman" w:cs="Times New Roman"/>
          <w:sz w:val="28"/>
          <w:szCs w:val="28"/>
          <w:lang w:eastAsia="uk-UA"/>
        </w:rPr>
        <w:t xml:space="preserve"> звітному періоді </w:t>
      </w:r>
      <w:r>
        <w:rPr>
          <w:rFonts w:ascii="Times New Roman" w:hAnsi="Times New Roman" w:cs="Times New Roman"/>
          <w:sz w:val="28"/>
          <w:szCs w:val="28"/>
          <w:lang w:eastAsia="uk-UA"/>
        </w:rPr>
        <w:t xml:space="preserve">до Закону було внесено </w:t>
      </w:r>
      <w:r w:rsidRPr="004212E5">
        <w:rPr>
          <w:rFonts w:ascii="Times New Roman" w:hAnsi="Times New Roman" w:cs="Times New Roman"/>
          <w:sz w:val="28"/>
          <w:szCs w:val="28"/>
          <w:lang w:eastAsia="uk-UA"/>
        </w:rPr>
        <w:t>зміни</w:t>
      </w:r>
      <w:r>
        <w:rPr>
          <w:rFonts w:ascii="Times New Roman" w:hAnsi="Times New Roman" w:cs="Times New Roman"/>
          <w:sz w:val="28"/>
          <w:szCs w:val="28"/>
          <w:lang w:eastAsia="uk-UA"/>
        </w:rPr>
        <w:t xml:space="preserve"> </w:t>
      </w:r>
      <w:r w:rsidRPr="007E1004">
        <w:rPr>
          <w:rFonts w:ascii="Times New Roman" w:hAnsi="Times New Roman" w:cs="Times New Roman"/>
          <w:sz w:val="28"/>
          <w:szCs w:val="28"/>
          <w:lang w:eastAsia="uk-UA"/>
        </w:rPr>
        <w:t xml:space="preserve">Законом України “Про внесення змін до деяких законів України щодо забезпечення своєчасного доступу пацієнтів до необхідних лікарських засобів та медичних виробів шляхом здійснення державних закупівель із залученням спеціалізованих організацій, які здійснюють закупівлі” від 19.03.2015 </w:t>
      </w:r>
      <w:hyperlink r:id="rId8" w:anchor="n26" w:tgtFrame="_blank" w:history="1">
        <w:r w:rsidRPr="007E1004">
          <w:rPr>
            <w:rFonts w:ascii="Times New Roman" w:hAnsi="Times New Roman" w:cs="Times New Roman"/>
            <w:sz w:val="28"/>
            <w:szCs w:val="28"/>
            <w:lang w:eastAsia="uk-UA"/>
          </w:rPr>
          <w:t>№ 269-VIII</w:t>
        </w:r>
        <w:r>
          <w:rPr>
            <w:rFonts w:ascii="Times New Roman" w:hAnsi="Times New Roman" w:cs="Times New Roman"/>
            <w:sz w:val="28"/>
            <w:szCs w:val="28"/>
            <w:lang w:eastAsia="uk-UA"/>
          </w:rPr>
          <w:t>,</w:t>
        </w:r>
        <w:r w:rsidRPr="007E1004">
          <w:rPr>
            <w:rFonts w:ascii="Times New Roman" w:hAnsi="Times New Roman" w:cs="Times New Roman"/>
            <w:sz w:val="28"/>
            <w:szCs w:val="28"/>
            <w:lang w:eastAsia="uk-UA"/>
          </w:rPr>
          <w:t xml:space="preserve"> </w:t>
        </w:r>
      </w:hyperlink>
      <w:r w:rsidRPr="004212E5">
        <w:rPr>
          <w:rFonts w:ascii="Times New Roman" w:hAnsi="Times New Roman" w:cs="Times New Roman"/>
          <w:sz w:val="28"/>
          <w:szCs w:val="28"/>
          <w:lang w:eastAsia="uk-UA"/>
        </w:rPr>
        <w:t>які передбачають придбання товарів і послуг, які підлягають закупівлі відповідно до угод щодо закупівлі, що укладаються Міністерством охорони здоров’я</w:t>
      </w:r>
      <w:r w:rsidRPr="00301923">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України</w:t>
      </w:r>
      <w:r w:rsidRPr="004212E5">
        <w:rPr>
          <w:rFonts w:ascii="Times New Roman" w:hAnsi="Times New Roman" w:cs="Times New Roman"/>
          <w:sz w:val="28"/>
          <w:szCs w:val="28"/>
          <w:lang w:eastAsia="uk-UA"/>
        </w:rPr>
        <w:t xml:space="preserve"> із спеціалізованими організаціями, за правилами і процедурами, встановленими цими організаціями, з урахуванням порядку, визначеного Кабінетом Міністрів України. Зазначена норма Закону діятиме до 31.03.2019.</w:t>
      </w: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Поряд з цим з метою розширення переліку товарів та послуг, що можуть закуповуватися за рамковими угодами, було прийнято наказ Мінекономрозвитку “Про внесення змін до Переліку товарів і послуг, які можуть закуповуватися за рамковими угодами” від 23.02.2015 № 158, зареєстрований в Міністерстві ю</w:t>
      </w:r>
      <w:r>
        <w:rPr>
          <w:rFonts w:ascii="Times New Roman" w:hAnsi="Times New Roman" w:cs="Times New Roman"/>
          <w:sz w:val="28"/>
          <w:szCs w:val="28"/>
          <w:lang w:eastAsia="uk-UA"/>
        </w:rPr>
        <w:t>стиції України 25</w:t>
      </w:r>
      <w:r w:rsidRPr="00353F14">
        <w:rPr>
          <w:rFonts w:ascii="Times New Roman" w:hAnsi="Times New Roman" w:cs="Times New Roman"/>
          <w:sz w:val="28"/>
          <w:szCs w:val="28"/>
          <w:lang w:eastAsia="uk-UA"/>
        </w:rPr>
        <w:t>.02.</w:t>
      </w:r>
      <w:r>
        <w:rPr>
          <w:rFonts w:ascii="Times New Roman" w:hAnsi="Times New Roman" w:cs="Times New Roman"/>
          <w:sz w:val="28"/>
          <w:szCs w:val="28"/>
          <w:lang w:eastAsia="uk-UA"/>
        </w:rPr>
        <w:t>2015</w:t>
      </w:r>
      <w:r w:rsidRPr="00353F14">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за</w:t>
      </w:r>
      <w:r w:rsidRPr="00353F14">
        <w:rPr>
          <w:rFonts w:ascii="Times New Roman" w:hAnsi="Times New Roman" w:cs="Times New Roman"/>
          <w:sz w:val="28"/>
          <w:szCs w:val="28"/>
          <w:lang w:eastAsia="uk-UA"/>
        </w:rPr>
        <w:t xml:space="preserve"> </w:t>
      </w:r>
      <w:r w:rsidRPr="004212E5">
        <w:rPr>
          <w:rFonts w:ascii="Times New Roman" w:hAnsi="Times New Roman" w:cs="Times New Roman"/>
          <w:sz w:val="28"/>
          <w:szCs w:val="28"/>
          <w:lang w:eastAsia="uk-UA"/>
        </w:rPr>
        <w:t>№ 215/26660.</w:t>
      </w:r>
    </w:p>
    <w:p w:rsidR="00B008B9" w:rsidRDefault="00B008B9" w:rsidP="002E66D6">
      <w:pPr>
        <w:spacing w:after="0" w:line="360" w:lineRule="auto"/>
        <w:ind w:firstLine="709"/>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 xml:space="preserve">Водночас Міністерством протягом зазначеного періоду розроблено проект  </w:t>
      </w:r>
      <w:r>
        <w:rPr>
          <w:rFonts w:ascii="Times New Roman" w:hAnsi="Times New Roman" w:cs="Times New Roman"/>
          <w:sz w:val="28"/>
          <w:szCs w:val="28"/>
          <w:lang w:eastAsia="uk-UA"/>
        </w:rPr>
        <w:t xml:space="preserve">розпорядження </w:t>
      </w:r>
      <w:r w:rsidRPr="004212E5">
        <w:rPr>
          <w:rFonts w:ascii="Times New Roman" w:hAnsi="Times New Roman" w:cs="Times New Roman"/>
          <w:sz w:val="28"/>
          <w:szCs w:val="28"/>
          <w:lang w:eastAsia="uk-UA"/>
        </w:rPr>
        <w:t>Кабінету Міністрів України “</w:t>
      </w:r>
      <w:r>
        <w:rPr>
          <w:rFonts w:ascii="Times New Roman" w:hAnsi="Times New Roman" w:cs="Times New Roman"/>
          <w:sz w:val="28"/>
          <w:szCs w:val="28"/>
          <w:lang w:eastAsia="uk-UA"/>
        </w:rPr>
        <w:t xml:space="preserve">Про затвердження плану заходів щодо формування переліку окремих товарів, робіт та послуг, які закуповуються виключно у суб’єктів господарювання, що зареєстровані та здійснюють господарську діяльність на території проведення </w:t>
      </w:r>
      <w:r w:rsidRPr="004212E5">
        <w:rPr>
          <w:rFonts w:ascii="Times New Roman" w:hAnsi="Times New Roman" w:cs="Times New Roman"/>
          <w:sz w:val="28"/>
          <w:szCs w:val="28"/>
          <w:lang w:eastAsia="uk-UA"/>
        </w:rPr>
        <w:t xml:space="preserve"> антитерористичної операції</w:t>
      </w:r>
      <w:r>
        <w:rPr>
          <w:rFonts w:ascii="Times New Roman" w:hAnsi="Times New Roman" w:cs="Times New Roman"/>
          <w:sz w:val="28"/>
          <w:szCs w:val="28"/>
          <w:lang w:eastAsia="uk-UA"/>
        </w:rPr>
        <w:t xml:space="preserve"> для відновлення інфраструктури міст після завершення антитерористичної операції</w:t>
      </w:r>
      <w:r w:rsidRPr="004212E5">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після погодження із заінтересованими органами влади його буде направлено до Кабінету Міністрів України.</w:t>
      </w: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Крім того, Міністерством у тісній співпраці з громадськими організаціями та міжнародними експертами протягом січня – березня 2015 року здійснювалася робота з підготовки проекту Закону України “Про внесення змін до деяких законодавчих актів щодо державних закупівель щодо заходів з подолання корупції та приведення їх у відповідність із міжнародними стандартами” з метою гармонізації українського законодавства зі стандартами ЄС та СОТ, підвищення прозорості процесу здійснення закупівель, спрощення доступу бізнесу до участі у закупівлях, удосконалення правил, що регулюють процедури закупівлі, та оптимізації функцій Уповноваженого органу та центрального органу виконавчої влади, що реалізує державну політику у сфері казначейського обслуговування бюджетних коштів.</w:t>
      </w: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З метою виконання зобов’язань України в рамках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 Міністерством за участі експертів проекту технічної допомоги ЄС “Гармонізація системи державних закупівель в Україні зі стандартами ЄС” (далі – Проект)  було розроблено та надіслано на розгляд  Кабінету Міністрів України</w:t>
      </w:r>
      <w:r w:rsidRPr="00D17968">
        <w:rPr>
          <w:rFonts w:ascii="Times New Roman" w:hAnsi="Times New Roman" w:cs="Times New Roman"/>
          <w:sz w:val="28"/>
          <w:szCs w:val="28"/>
          <w:lang w:eastAsia="uk-UA"/>
        </w:rPr>
        <w:t xml:space="preserve"> </w:t>
      </w:r>
      <w:r w:rsidRPr="004212E5">
        <w:rPr>
          <w:rFonts w:ascii="Times New Roman" w:hAnsi="Times New Roman" w:cs="Times New Roman"/>
          <w:sz w:val="28"/>
          <w:szCs w:val="28"/>
        </w:rPr>
        <w:t xml:space="preserve">проект розпорядження Кабінету Міністрів України “Про Стратегію реформування системи державних закупівель (“дорожню карту”)” (далі – Стратегія). </w:t>
      </w:r>
      <w:r w:rsidRPr="004212E5">
        <w:rPr>
          <w:rFonts w:ascii="Times New Roman" w:hAnsi="Times New Roman" w:cs="Times New Roman"/>
          <w:sz w:val="28"/>
          <w:szCs w:val="28"/>
          <w:lang w:eastAsia="uk-UA"/>
        </w:rPr>
        <w:t>Стратегією визначені основні напрямки подальшого розвитку системи державних закупівель та положення і статті Директив ЄС у сфері державних закупівель, які необхідно імплементувати до законодавства України на виконання Угоди.</w:t>
      </w: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 xml:space="preserve">Поряд з цим з метою запровадження механізму електронних закупівель, визначення на практиці його слабких та проблемних сторін, у тісній співпраці з громадськістю започатковано пілотний проект щодо впровадження електронних закупівель, в рамках якого замовники можуть випробувати зазначений механізм для придбання товарів, вартість яких нижче порогів, визначених Законами України  “Про здійснення державних закупівель” та “Про особливості здійснення закупівель в окремих сферах господарської діяльності”. </w:t>
      </w:r>
    </w:p>
    <w:p w:rsidR="00B008B9" w:rsidRPr="007F5CCF" w:rsidRDefault="00B008B9" w:rsidP="002E66D6">
      <w:pPr>
        <w:spacing w:after="0" w:line="360" w:lineRule="auto"/>
        <w:ind w:firstLine="709"/>
        <w:jc w:val="both"/>
        <w:rPr>
          <w:rFonts w:ascii="Times New Roman" w:hAnsi="Times New Roman" w:cs="Times New Roman"/>
          <w:sz w:val="28"/>
          <w:szCs w:val="28"/>
          <w:lang w:eastAsia="uk-UA"/>
        </w:rPr>
      </w:pPr>
      <w:r w:rsidRPr="00861BBC">
        <w:rPr>
          <w:rFonts w:ascii="Times New Roman" w:hAnsi="Times New Roman" w:cs="Times New Roman"/>
          <w:sz w:val="28"/>
          <w:szCs w:val="28"/>
          <w:lang w:eastAsia="uk-UA"/>
        </w:rPr>
        <w:t>Для формалізації цього процесу Кабінетом Міністрів України прийнято  розпорядження Кабінету Міністрів України “Про реалізацію пілотного проекту у сфері державних закупівель щодо впровадження електронних</w:t>
      </w:r>
      <w:r>
        <w:rPr>
          <w:rFonts w:ascii="Times New Roman" w:hAnsi="Times New Roman" w:cs="Times New Roman"/>
          <w:sz w:val="28"/>
          <w:szCs w:val="28"/>
          <w:lang w:eastAsia="uk-UA"/>
        </w:rPr>
        <w:t xml:space="preserve"> закупівель” </w:t>
      </w:r>
      <w:r w:rsidRPr="004C4286">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від 20</w:t>
      </w:r>
      <w:r w:rsidRPr="000D2B11">
        <w:rPr>
          <w:rFonts w:ascii="Times New Roman" w:hAnsi="Times New Roman" w:cs="Times New Roman"/>
          <w:sz w:val="28"/>
          <w:szCs w:val="28"/>
          <w:lang w:eastAsia="uk-UA"/>
        </w:rPr>
        <w:t>.05.</w:t>
      </w:r>
      <w:r>
        <w:rPr>
          <w:rFonts w:ascii="Times New Roman" w:hAnsi="Times New Roman" w:cs="Times New Roman"/>
          <w:sz w:val="28"/>
          <w:szCs w:val="28"/>
          <w:lang w:eastAsia="uk-UA"/>
        </w:rPr>
        <w:t>2015</w:t>
      </w:r>
      <w:r w:rsidRPr="000D2B11">
        <w:rPr>
          <w:rFonts w:ascii="Times New Roman" w:hAnsi="Times New Roman" w:cs="Times New Roman"/>
          <w:sz w:val="28"/>
          <w:szCs w:val="28"/>
          <w:lang w:eastAsia="uk-UA"/>
        </w:rPr>
        <w:t xml:space="preserve"> </w:t>
      </w:r>
      <w:r w:rsidRPr="00861BBC">
        <w:rPr>
          <w:rFonts w:ascii="Times New Roman" w:hAnsi="Times New Roman" w:cs="Times New Roman"/>
          <w:sz w:val="28"/>
          <w:szCs w:val="28"/>
          <w:lang w:eastAsia="uk-UA"/>
        </w:rPr>
        <w:t>№ 501-р</w:t>
      </w:r>
      <w:r>
        <w:rPr>
          <w:rFonts w:ascii="Times New Roman" w:hAnsi="Times New Roman" w:cs="Times New Roman"/>
          <w:sz w:val="28"/>
          <w:szCs w:val="28"/>
          <w:lang w:eastAsia="uk-UA"/>
        </w:rPr>
        <w:t>.</w:t>
      </w:r>
    </w:p>
    <w:p w:rsidR="00B008B9" w:rsidRDefault="00B008B9" w:rsidP="002E66D6">
      <w:pPr>
        <w:spacing w:line="360" w:lineRule="auto"/>
        <w:ind w:firstLine="708"/>
        <w:jc w:val="both"/>
        <w:rPr>
          <w:rFonts w:ascii="Times New Roman" w:hAnsi="Times New Roman" w:cs="Times New Roman"/>
          <w:noProof/>
          <w:sz w:val="28"/>
          <w:szCs w:val="28"/>
          <w:lang w:val="ru-RU" w:eastAsia="ru-RU"/>
        </w:rPr>
      </w:pPr>
      <w:r w:rsidRPr="00202A8F">
        <w:rPr>
          <w:rFonts w:ascii="Times New Roman" w:hAnsi="Times New Roman" w:cs="Times New Roman"/>
          <w:color w:val="000000"/>
          <w:sz w:val="28"/>
          <w:szCs w:val="28"/>
        </w:rPr>
        <w:t>Верховною Радою України прийнято Закон України “Про публічні закупівлі” від 25.12.2015р. № 922-</w:t>
      </w:r>
      <w:r w:rsidRPr="00202A8F">
        <w:rPr>
          <w:rFonts w:ascii="Times New Roman" w:hAnsi="Times New Roman" w:cs="Times New Roman"/>
          <w:color w:val="000000"/>
          <w:sz w:val="28"/>
          <w:szCs w:val="28"/>
          <w:lang w:val="en-US"/>
        </w:rPr>
        <w:t>VIII</w:t>
      </w:r>
      <w:r w:rsidRPr="00202A8F">
        <w:rPr>
          <w:rFonts w:ascii="Times New Roman" w:hAnsi="Times New Roman" w:cs="Times New Roman"/>
          <w:color w:val="000000"/>
          <w:sz w:val="28"/>
          <w:szCs w:val="28"/>
        </w:rPr>
        <w:t xml:space="preserve"> проект якого було розроблено Мінекономрозвитку за участі міжнародних експертів, представників громадськості, ІТ-сектора та зацікавлених органів влади. Відповідно до положень зазначеного Закону усі процедури державних закупівель здійснюватимуться із застосуванням електронних засобів. Закон спрямовано на запровадження системи електронних закупівель та електронної системи оскарження, підвищення рівня конкуренції у сфері державних закупівель та зниження рівня корупції.</w:t>
      </w:r>
      <w:r>
        <w:rPr>
          <w:rFonts w:ascii="Times New Roman" w:hAnsi="Times New Roman" w:cs="Times New Roman"/>
          <w:noProof/>
          <w:sz w:val="28"/>
          <w:szCs w:val="28"/>
          <w:lang w:val="ru-RU" w:eastAsia="ru-RU"/>
        </w:rPr>
        <w:tab/>
      </w:r>
    </w:p>
    <w:p w:rsidR="00B008B9" w:rsidRDefault="00B008B9" w:rsidP="002E66D6">
      <w:pPr>
        <w:spacing w:after="120" w:line="360" w:lineRule="auto"/>
        <w:jc w:val="center"/>
        <w:rPr>
          <w:rFonts w:ascii="Times New Roman" w:hAnsi="Times New Roman" w:cs="Times New Roman"/>
          <w:noProof/>
          <w:sz w:val="28"/>
          <w:szCs w:val="28"/>
          <w:lang w:val="ru-RU" w:eastAsia="ru-RU"/>
        </w:rPr>
      </w:pPr>
    </w:p>
    <w:p w:rsidR="00B008B9" w:rsidRPr="005A2688" w:rsidRDefault="00B008B9" w:rsidP="002E66D6">
      <w:pPr>
        <w:spacing w:after="0" w:line="360" w:lineRule="auto"/>
        <w:rPr>
          <w:rFonts w:ascii="Times New Roman" w:hAnsi="Times New Roman" w:cs="Times New Roman"/>
          <w:b/>
          <w:bCs/>
          <w:sz w:val="28"/>
          <w:szCs w:val="28"/>
          <w:lang w:val="ru-RU" w:eastAsia="uk-UA"/>
        </w:rPr>
      </w:pPr>
      <w:r w:rsidRPr="005A2688">
        <w:rPr>
          <w:rFonts w:ascii="Times New Roman" w:hAnsi="Times New Roman" w:cs="Times New Roman"/>
          <w:b/>
          <w:bCs/>
          <w:sz w:val="28"/>
          <w:szCs w:val="28"/>
          <w:lang w:val="ru-RU" w:eastAsia="uk-UA"/>
        </w:rPr>
        <w:br w:type="page"/>
      </w:r>
    </w:p>
    <w:p w:rsidR="00B008B9" w:rsidRPr="000E6DF9" w:rsidRDefault="00B008B9" w:rsidP="002E66D6">
      <w:pPr>
        <w:spacing w:after="120" w:line="360" w:lineRule="auto"/>
        <w:jc w:val="center"/>
        <w:outlineLvl w:val="0"/>
        <w:rPr>
          <w:rFonts w:ascii="Times New Roman" w:hAnsi="Times New Roman" w:cs="Times New Roman"/>
          <w:b/>
          <w:bCs/>
          <w:sz w:val="28"/>
          <w:szCs w:val="28"/>
          <w:lang w:eastAsia="uk-UA"/>
        </w:rPr>
      </w:pPr>
      <w:r w:rsidRPr="000E6DF9">
        <w:rPr>
          <w:rFonts w:ascii="Times New Roman" w:hAnsi="Times New Roman" w:cs="Times New Roman"/>
          <w:b/>
          <w:bCs/>
          <w:sz w:val="28"/>
          <w:szCs w:val="28"/>
          <w:lang w:eastAsia="uk-UA"/>
        </w:rPr>
        <w:t>Здійснення замовниками державних закупівель</w:t>
      </w:r>
    </w:p>
    <w:p w:rsidR="00B008B9" w:rsidRPr="004212E5" w:rsidRDefault="00B008B9" w:rsidP="002E66D6">
      <w:pPr>
        <w:spacing w:after="0" w:line="360" w:lineRule="auto"/>
        <w:ind w:firstLine="720"/>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Аналіз здійснення замовниками закупівель товарів, робіт і послуг у звітному періоді проведено на основі:</w:t>
      </w:r>
    </w:p>
    <w:p w:rsidR="00B008B9" w:rsidRPr="004212E5" w:rsidRDefault="00B008B9" w:rsidP="002E66D6">
      <w:pPr>
        <w:numPr>
          <w:ilvl w:val="0"/>
          <w:numId w:val="5"/>
        </w:numPr>
        <w:tabs>
          <w:tab w:val="clear" w:pos="1080"/>
          <w:tab w:val="num" w:pos="0"/>
          <w:tab w:val="left" w:pos="900"/>
        </w:tabs>
        <w:spacing w:after="0" w:line="360" w:lineRule="auto"/>
        <w:ind w:left="0" w:firstLine="720"/>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оприлюднених на загальнодержавному веб-порталі “Державні закупівлі” (далі – веб-портал) даних щодо оголошень про проведення процедур закупівлі, оголошень про результати закупівель, повідомлень про відміну торгів або визнання їх такими, що не відбулися;</w:t>
      </w:r>
    </w:p>
    <w:p w:rsidR="00B008B9" w:rsidRPr="004212E5" w:rsidRDefault="00B008B9" w:rsidP="002E66D6">
      <w:pPr>
        <w:numPr>
          <w:ilvl w:val="0"/>
          <w:numId w:val="5"/>
        </w:numPr>
        <w:tabs>
          <w:tab w:val="clear" w:pos="1080"/>
          <w:tab w:val="num" w:pos="0"/>
          <w:tab w:val="left" w:pos="900"/>
        </w:tabs>
        <w:spacing w:after="0" w:line="360" w:lineRule="auto"/>
        <w:ind w:left="0" w:firstLine="720"/>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державного статистичного спостереження за формою № 1 – торги “Звіт про проведення процедур закупівель товарів, робіт і послуг за державні кошти”, яку подали 91 головний розпорядник;</w:t>
      </w:r>
    </w:p>
    <w:p w:rsidR="00B008B9" w:rsidRPr="004212E5" w:rsidRDefault="00B008B9" w:rsidP="002E66D6">
      <w:pPr>
        <w:numPr>
          <w:ilvl w:val="0"/>
          <w:numId w:val="5"/>
        </w:numPr>
        <w:tabs>
          <w:tab w:val="clear" w:pos="1080"/>
          <w:tab w:val="num" w:pos="0"/>
          <w:tab w:val="left" w:pos="900"/>
        </w:tabs>
        <w:spacing w:after="0" w:line="360" w:lineRule="auto"/>
        <w:ind w:left="0" w:firstLine="720"/>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інформації Держказначейства стосовно кількості попереджень про неналежне виконання бюджетного законодавства щодо взяття та/або реєстрації бюджетних зобов’язань (бюджетних фінансових зобов’язань) в частині виявлених порушень вимог у сфері закупівель;</w:t>
      </w:r>
    </w:p>
    <w:p w:rsidR="00B008B9" w:rsidRPr="004212E5" w:rsidRDefault="00B008B9" w:rsidP="002E66D6">
      <w:pPr>
        <w:numPr>
          <w:ilvl w:val="0"/>
          <w:numId w:val="5"/>
        </w:numPr>
        <w:tabs>
          <w:tab w:val="clear" w:pos="1080"/>
          <w:tab w:val="num" w:pos="0"/>
          <w:tab w:val="left" w:pos="900"/>
        </w:tabs>
        <w:spacing w:after="0" w:line="360" w:lineRule="auto"/>
        <w:ind w:left="0" w:firstLine="720"/>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інформації, поданої Антимонопольним комітетом України щодо розгляду скарг про порушення законодавства у сфері державних закупівель;</w:t>
      </w:r>
    </w:p>
    <w:p w:rsidR="00B008B9" w:rsidRPr="004212E5" w:rsidRDefault="00B008B9" w:rsidP="002E66D6">
      <w:pPr>
        <w:numPr>
          <w:ilvl w:val="0"/>
          <w:numId w:val="5"/>
        </w:numPr>
        <w:tabs>
          <w:tab w:val="clear" w:pos="1080"/>
          <w:tab w:val="num" w:pos="0"/>
          <w:tab w:val="left" w:pos="900"/>
        </w:tabs>
        <w:spacing w:after="0" w:line="360" w:lineRule="auto"/>
        <w:ind w:left="0" w:firstLine="720"/>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 xml:space="preserve">інформації Держфінінспекції щодо виявлених за результатами контрольних заходів порушень законодавства у сфері державних закупівель. </w:t>
      </w:r>
    </w:p>
    <w:p w:rsidR="00B008B9" w:rsidRPr="00315DBF" w:rsidRDefault="00B008B9" w:rsidP="002E66D6">
      <w:pPr>
        <w:spacing w:after="0" w:line="360" w:lineRule="auto"/>
        <w:ind w:firstLine="720"/>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 xml:space="preserve">За даними веб-порталу протягом січня – </w:t>
      </w:r>
      <w:r w:rsidRPr="00315DBF">
        <w:rPr>
          <w:rFonts w:ascii="Times New Roman" w:hAnsi="Times New Roman" w:cs="Times New Roman"/>
          <w:sz w:val="28"/>
          <w:szCs w:val="28"/>
          <w:lang w:val="ru-RU" w:eastAsia="uk-UA"/>
        </w:rPr>
        <w:t>грудня</w:t>
      </w:r>
      <w:r w:rsidRPr="00315DBF">
        <w:rPr>
          <w:rFonts w:ascii="Times New Roman" w:hAnsi="Times New Roman" w:cs="Times New Roman"/>
          <w:sz w:val="28"/>
          <w:szCs w:val="28"/>
          <w:lang w:eastAsia="uk-UA"/>
        </w:rPr>
        <w:t xml:space="preserve"> 2015 року замовниками було оприлюднено на веб-порталі </w:t>
      </w:r>
      <w:r w:rsidRPr="00315DBF">
        <w:rPr>
          <w:rFonts w:ascii="Times New Roman" w:hAnsi="Times New Roman" w:cs="Times New Roman"/>
          <w:sz w:val="28"/>
          <w:szCs w:val="28"/>
          <w:lang w:val="ru-RU" w:eastAsia="uk-UA"/>
        </w:rPr>
        <w:t>88454</w:t>
      </w:r>
      <w:r w:rsidRPr="00315DBF">
        <w:rPr>
          <w:rFonts w:ascii="Times New Roman" w:hAnsi="Times New Roman" w:cs="Times New Roman"/>
          <w:sz w:val="28"/>
          <w:szCs w:val="28"/>
          <w:lang w:eastAsia="uk-UA"/>
        </w:rPr>
        <w:t xml:space="preserve"> оголошення про проведення процедур закупівель, що на </w:t>
      </w:r>
      <w:r w:rsidRPr="00315DBF">
        <w:rPr>
          <w:rFonts w:ascii="Times New Roman" w:hAnsi="Times New Roman" w:cs="Times New Roman"/>
          <w:sz w:val="28"/>
          <w:szCs w:val="28"/>
          <w:lang w:val="ru-RU" w:eastAsia="uk-UA"/>
        </w:rPr>
        <w:t>21,47</w:t>
      </w:r>
      <w:r w:rsidRPr="00315DBF">
        <w:rPr>
          <w:rFonts w:ascii="Times New Roman" w:hAnsi="Times New Roman" w:cs="Times New Roman"/>
          <w:sz w:val="28"/>
          <w:szCs w:val="28"/>
          <w:lang w:eastAsia="uk-UA"/>
        </w:rPr>
        <w:t xml:space="preserve"> відсотка більше, ніж кількість оприлюднених оголошень у зазначеному періоді 2014 року (</w:t>
      </w:r>
      <w:r w:rsidRPr="00315DBF">
        <w:rPr>
          <w:rFonts w:ascii="Times New Roman" w:hAnsi="Times New Roman" w:cs="Times New Roman"/>
          <w:sz w:val="28"/>
          <w:szCs w:val="28"/>
          <w:lang w:val="ru-RU"/>
        </w:rPr>
        <w:t xml:space="preserve">72 818 </w:t>
      </w:r>
      <w:r w:rsidRPr="00315DBF">
        <w:rPr>
          <w:rFonts w:ascii="Times New Roman" w:hAnsi="Times New Roman" w:cs="Times New Roman"/>
          <w:sz w:val="28"/>
          <w:szCs w:val="28"/>
          <w:lang w:eastAsia="uk-UA"/>
        </w:rPr>
        <w:t xml:space="preserve">оголошень). Частка оголошень про проведення конкурентних процедур закупівель складає </w:t>
      </w:r>
      <w:r>
        <w:rPr>
          <w:rFonts w:ascii="Times New Roman" w:hAnsi="Times New Roman" w:cs="Times New Roman"/>
          <w:sz w:val="28"/>
          <w:szCs w:val="28"/>
          <w:lang w:eastAsia="uk-UA"/>
        </w:rPr>
        <w:t xml:space="preserve">                      59</w:t>
      </w:r>
      <w:r w:rsidRPr="00315DBF">
        <w:rPr>
          <w:rFonts w:ascii="Times New Roman" w:hAnsi="Times New Roman" w:cs="Times New Roman"/>
          <w:sz w:val="28"/>
          <w:szCs w:val="28"/>
          <w:lang w:eastAsia="uk-UA"/>
        </w:rPr>
        <w:t xml:space="preserve"> відсотків (Рис. 1). Аналіз цих оголошень свідчить, що з конкурентних процедур закупівель замовники частіше обирають відкриті торги, які, згідно Закону, є основною процедурою закупівель (49 відсотків). </w:t>
      </w:r>
    </w:p>
    <w:p w:rsidR="00B008B9" w:rsidRDefault="00B008B9" w:rsidP="002E66D6">
      <w:pPr>
        <w:spacing w:after="0" w:line="360" w:lineRule="auto"/>
        <w:ind w:firstLine="720"/>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 xml:space="preserve">За </w:t>
      </w:r>
      <w:r w:rsidRPr="007F6CD4">
        <w:rPr>
          <w:rFonts w:ascii="Times New Roman" w:hAnsi="Times New Roman" w:cs="Times New Roman"/>
          <w:sz w:val="28"/>
          <w:szCs w:val="28"/>
          <w:lang w:eastAsia="uk-UA"/>
        </w:rPr>
        <w:t>результатами проведених процедур закупівлі замовниками на веб-порталі оприлюднено 90430 оголошень про результати</w:t>
      </w:r>
      <w:r w:rsidRPr="007F6CD4">
        <w:rPr>
          <w:rFonts w:ascii="Times New Roman" w:hAnsi="Times New Roman" w:cs="Times New Roman"/>
          <w:sz w:val="28"/>
          <w:szCs w:val="28"/>
          <w:vertAlign w:val="superscript"/>
          <w:lang w:eastAsia="uk-UA"/>
        </w:rPr>
        <w:footnoteReference w:id="1"/>
      </w:r>
      <w:r w:rsidRPr="007F6CD4">
        <w:rPr>
          <w:rFonts w:ascii="Times New Roman" w:hAnsi="Times New Roman" w:cs="Times New Roman"/>
          <w:sz w:val="28"/>
          <w:szCs w:val="28"/>
          <w:lang w:eastAsia="uk-UA"/>
        </w:rPr>
        <w:t xml:space="preserve">, з них: </w:t>
      </w:r>
      <w:r w:rsidRPr="007F6CD4">
        <w:rPr>
          <w:rFonts w:ascii="Times New Roman" w:hAnsi="Times New Roman" w:cs="Times New Roman"/>
          <w:sz w:val="28"/>
          <w:szCs w:val="28"/>
          <w:lang w:val="ru-RU" w:eastAsia="uk-UA"/>
        </w:rPr>
        <w:t>53645</w:t>
      </w:r>
      <w:r w:rsidRPr="007F6CD4">
        <w:rPr>
          <w:rFonts w:ascii="Times New Roman" w:hAnsi="Times New Roman" w:cs="Times New Roman"/>
          <w:sz w:val="28"/>
          <w:szCs w:val="28"/>
          <w:lang w:eastAsia="uk-UA"/>
        </w:rPr>
        <w:t xml:space="preserve"> оголошень (59,33 відсотка) – це оголошення про результати проведення відкритих торгів, повідомлення про результати проведення попередньої кваліфікації, інформація про результати процедури запиту цінових пропозицій, двоступеневих торгів, а </w:t>
      </w:r>
      <w:r>
        <w:rPr>
          <w:rFonts w:ascii="Times New Roman" w:hAnsi="Times New Roman" w:cs="Times New Roman"/>
          <w:sz w:val="28"/>
          <w:szCs w:val="28"/>
        </w:rPr>
        <w:t>36 785</w:t>
      </w:r>
      <w:r w:rsidRPr="007F6CD4">
        <w:rPr>
          <w:rFonts w:ascii="Times New Roman" w:hAnsi="Times New Roman" w:cs="Times New Roman"/>
          <w:sz w:val="28"/>
          <w:szCs w:val="28"/>
          <w:lang w:eastAsia="uk-UA"/>
        </w:rPr>
        <w:t>оголошен</w:t>
      </w:r>
      <w:r w:rsidRPr="007F6CD4">
        <w:rPr>
          <w:rFonts w:ascii="Times New Roman" w:hAnsi="Times New Roman" w:cs="Times New Roman"/>
          <w:sz w:val="28"/>
          <w:szCs w:val="28"/>
          <w:lang w:val="ru-RU" w:eastAsia="uk-UA"/>
        </w:rPr>
        <w:t>ь</w:t>
      </w:r>
      <w:r w:rsidRPr="007F6CD4">
        <w:rPr>
          <w:rFonts w:ascii="Times New Roman" w:hAnsi="Times New Roman" w:cs="Times New Roman"/>
          <w:sz w:val="28"/>
          <w:szCs w:val="28"/>
          <w:lang w:eastAsia="uk-UA"/>
        </w:rPr>
        <w:t xml:space="preserve"> (40,67 відсотки) – це інформація про результати переговорної процедури закупівлі.</w:t>
      </w:r>
    </w:p>
    <w:p w:rsidR="00B008B9" w:rsidRDefault="00B008B9" w:rsidP="002E66D6">
      <w:pPr>
        <w:spacing w:after="0" w:line="360" w:lineRule="auto"/>
        <w:ind w:firstLine="720"/>
        <w:jc w:val="both"/>
        <w:rPr>
          <w:rFonts w:ascii="Times New Roman" w:hAnsi="Times New Roman" w:cs="Times New Roman"/>
          <w:sz w:val="28"/>
          <w:szCs w:val="28"/>
          <w:lang w:eastAsia="uk-UA"/>
        </w:rPr>
      </w:pPr>
    </w:p>
    <w:p w:rsidR="00B008B9" w:rsidRPr="00ED24A4" w:rsidRDefault="00B008B9" w:rsidP="002E66D6">
      <w:pPr>
        <w:tabs>
          <w:tab w:val="left" w:pos="4488"/>
        </w:tabs>
        <w:autoSpaceDE w:val="0"/>
        <w:autoSpaceDN w:val="0"/>
        <w:adjustRightInd w:val="0"/>
        <w:spacing w:before="120" w:after="0" w:line="360" w:lineRule="auto"/>
        <w:jc w:val="center"/>
        <w:outlineLvl w:val="0"/>
        <w:rPr>
          <w:rFonts w:ascii="Times New Roman" w:hAnsi="Times New Roman" w:cs="Times New Roman"/>
          <w:b/>
          <w:bCs/>
          <w:sz w:val="28"/>
          <w:szCs w:val="28"/>
          <w:lang w:eastAsia="uk-UA"/>
        </w:rPr>
      </w:pPr>
      <w:r w:rsidRPr="00ED24A4">
        <w:rPr>
          <w:rFonts w:ascii="Times New Roman" w:hAnsi="Times New Roman" w:cs="Times New Roman"/>
          <w:b/>
          <w:bCs/>
          <w:sz w:val="28"/>
          <w:szCs w:val="28"/>
          <w:lang w:eastAsia="uk-UA"/>
        </w:rPr>
        <w:t xml:space="preserve">Структура оголошень про заплановані </w:t>
      </w:r>
    </w:p>
    <w:p w:rsidR="00B008B9" w:rsidRPr="00ED24A4" w:rsidRDefault="00B008B9" w:rsidP="002E66D6">
      <w:pPr>
        <w:tabs>
          <w:tab w:val="left" w:pos="4488"/>
        </w:tabs>
        <w:autoSpaceDE w:val="0"/>
        <w:autoSpaceDN w:val="0"/>
        <w:adjustRightInd w:val="0"/>
        <w:spacing w:after="120" w:line="360" w:lineRule="auto"/>
        <w:jc w:val="center"/>
        <w:rPr>
          <w:rFonts w:ascii="Times New Roman" w:hAnsi="Times New Roman" w:cs="Times New Roman"/>
          <w:b/>
          <w:bCs/>
          <w:sz w:val="28"/>
          <w:szCs w:val="28"/>
          <w:lang w:eastAsia="uk-UA"/>
        </w:rPr>
      </w:pPr>
      <w:r w:rsidRPr="00ED24A4">
        <w:rPr>
          <w:rFonts w:ascii="Times New Roman" w:hAnsi="Times New Roman" w:cs="Times New Roman"/>
          <w:b/>
          <w:bCs/>
          <w:sz w:val="28"/>
          <w:szCs w:val="28"/>
          <w:lang w:eastAsia="uk-UA"/>
        </w:rPr>
        <w:t xml:space="preserve">процедури закупівлі у січні – </w:t>
      </w:r>
      <w:r w:rsidRPr="00ED24A4">
        <w:rPr>
          <w:rFonts w:ascii="Times New Roman" w:hAnsi="Times New Roman" w:cs="Times New Roman"/>
          <w:b/>
          <w:bCs/>
          <w:sz w:val="28"/>
          <w:szCs w:val="28"/>
          <w:lang w:val="ru-RU" w:eastAsia="uk-UA"/>
        </w:rPr>
        <w:t>грудні</w:t>
      </w:r>
      <w:r w:rsidRPr="00ED24A4">
        <w:rPr>
          <w:rFonts w:ascii="Times New Roman" w:hAnsi="Times New Roman" w:cs="Times New Roman"/>
          <w:b/>
          <w:bCs/>
          <w:sz w:val="28"/>
          <w:szCs w:val="28"/>
          <w:lang w:eastAsia="uk-UA"/>
        </w:rPr>
        <w:t xml:space="preserve"> 2015 року</w:t>
      </w:r>
    </w:p>
    <w:p w:rsidR="00B008B9" w:rsidRDefault="00B008B9" w:rsidP="002E66D6">
      <w:pPr>
        <w:spacing w:after="0" w:line="360" w:lineRule="auto"/>
        <w:jc w:val="center"/>
        <w:rPr>
          <w:noProof/>
          <w:lang w:eastAsia="uk-UA"/>
        </w:rPr>
      </w:pPr>
    </w:p>
    <w:p w:rsidR="00B008B9" w:rsidRDefault="00B008B9" w:rsidP="002E66D6">
      <w:pPr>
        <w:spacing w:after="0" w:line="360" w:lineRule="auto"/>
        <w:jc w:val="center"/>
        <w:rPr>
          <w:noProof/>
          <w:lang w:val="en-US" w:eastAsia="uk-UA"/>
        </w:rPr>
      </w:pPr>
      <w:r w:rsidRPr="00D227CB">
        <w:rPr>
          <w:noProof/>
          <w:lang w:eastAsia="uk-UA"/>
        </w:rPr>
        <w:pict>
          <v:shape id="Рисунок 14" o:spid="_x0000_i1025" type="#_x0000_t75" style="width:476.25pt;height:320.25pt;visibility:visible">
            <v:imagedata r:id="rId9" o:title="" croptop="30198f" cropbottom="3845f"/>
          </v:shape>
        </w:pict>
      </w:r>
    </w:p>
    <w:p w:rsidR="00B008B9" w:rsidRPr="00D378CE" w:rsidRDefault="00B008B9" w:rsidP="002E66D6">
      <w:pPr>
        <w:spacing w:after="0" w:line="360" w:lineRule="auto"/>
        <w:jc w:val="center"/>
        <w:rPr>
          <w:noProof/>
          <w:lang w:val="en-US" w:eastAsia="uk-UA"/>
        </w:rPr>
      </w:pPr>
    </w:p>
    <w:p w:rsidR="00B008B9" w:rsidRPr="004212E5" w:rsidRDefault="00B008B9" w:rsidP="002E66D6">
      <w:pPr>
        <w:spacing w:after="0" w:line="360" w:lineRule="auto"/>
        <w:jc w:val="center"/>
        <w:outlineLvl w:val="0"/>
        <w:rPr>
          <w:rFonts w:ascii="Times New Roman" w:hAnsi="Times New Roman" w:cs="Times New Roman"/>
          <w:sz w:val="28"/>
          <w:szCs w:val="28"/>
          <w:lang w:eastAsia="uk-UA"/>
        </w:rPr>
      </w:pPr>
      <w:r w:rsidRPr="004212E5">
        <w:rPr>
          <w:rFonts w:ascii="Times New Roman" w:hAnsi="Times New Roman" w:cs="Times New Roman"/>
          <w:sz w:val="28"/>
          <w:szCs w:val="28"/>
          <w:lang w:eastAsia="uk-UA"/>
        </w:rPr>
        <w:t>Рис. 1</w:t>
      </w:r>
    </w:p>
    <w:p w:rsidR="00B008B9" w:rsidRDefault="00B008B9" w:rsidP="002E66D6">
      <w:pPr>
        <w:spacing w:after="0" w:line="360" w:lineRule="auto"/>
        <w:ind w:firstLine="720"/>
        <w:jc w:val="both"/>
        <w:rPr>
          <w:rFonts w:ascii="Times New Roman" w:hAnsi="Times New Roman" w:cs="Times New Roman"/>
          <w:sz w:val="28"/>
          <w:szCs w:val="28"/>
          <w:lang w:eastAsia="uk-UA"/>
        </w:rPr>
      </w:pPr>
    </w:p>
    <w:p w:rsidR="00B008B9" w:rsidRDefault="00B008B9" w:rsidP="002E66D6">
      <w:pPr>
        <w:spacing w:after="0" w:line="360" w:lineRule="auto"/>
        <w:ind w:firstLine="720"/>
        <w:jc w:val="both"/>
        <w:rPr>
          <w:rFonts w:ascii="Times New Roman" w:hAnsi="Times New Roman" w:cs="Times New Roman"/>
          <w:sz w:val="28"/>
          <w:szCs w:val="28"/>
          <w:lang w:eastAsia="uk-UA"/>
        </w:rPr>
      </w:pPr>
      <w:r w:rsidRPr="00FA7E6B">
        <w:rPr>
          <w:rFonts w:ascii="Times New Roman" w:hAnsi="Times New Roman" w:cs="Times New Roman"/>
          <w:sz w:val="28"/>
          <w:szCs w:val="28"/>
          <w:lang w:eastAsia="uk-UA"/>
        </w:rPr>
        <w:t xml:space="preserve">Загальна сума укладених протягом січня – </w:t>
      </w:r>
      <w:r w:rsidRPr="00FA7E6B">
        <w:rPr>
          <w:rFonts w:ascii="Times New Roman" w:hAnsi="Times New Roman" w:cs="Times New Roman"/>
          <w:sz w:val="28"/>
          <w:szCs w:val="28"/>
          <w:lang w:val="ru-RU" w:eastAsia="uk-UA"/>
        </w:rPr>
        <w:t>грудня</w:t>
      </w:r>
      <w:r w:rsidRPr="00FA7E6B">
        <w:rPr>
          <w:rFonts w:ascii="Times New Roman" w:hAnsi="Times New Roman" w:cs="Times New Roman"/>
          <w:sz w:val="28"/>
          <w:szCs w:val="28"/>
          <w:lang w:eastAsia="uk-UA"/>
        </w:rPr>
        <w:t xml:space="preserve"> 2015 року договорів про закупівлю становила </w:t>
      </w:r>
      <w:r>
        <w:rPr>
          <w:rFonts w:ascii="Times New Roman" w:hAnsi="Times New Roman" w:cs="Times New Roman"/>
          <w:sz w:val="28"/>
          <w:szCs w:val="28"/>
        </w:rPr>
        <w:t xml:space="preserve">192 412 922,50 </w:t>
      </w:r>
      <w:r w:rsidRPr="00FA7E6B">
        <w:rPr>
          <w:rFonts w:ascii="Times New Roman" w:hAnsi="Times New Roman" w:cs="Times New Roman"/>
          <w:sz w:val="28"/>
          <w:szCs w:val="28"/>
          <w:lang w:eastAsia="uk-UA"/>
        </w:rPr>
        <w:t xml:space="preserve">тис. гривень, що на </w:t>
      </w:r>
      <w:r>
        <w:rPr>
          <w:rFonts w:ascii="Times New Roman" w:hAnsi="Times New Roman" w:cs="Times New Roman"/>
          <w:sz w:val="28"/>
          <w:szCs w:val="28"/>
          <w:lang w:val="ru-RU" w:eastAsia="uk-UA"/>
        </w:rPr>
        <w:t>51,8</w:t>
      </w:r>
      <w:r w:rsidRPr="00FA7E6B">
        <w:rPr>
          <w:rFonts w:ascii="Times New Roman" w:hAnsi="Times New Roman" w:cs="Times New Roman"/>
          <w:sz w:val="28"/>
          <w:szCs w:val="28"/>
          <w:lang w:val="ru-RU" w:eastAsia="uk-UA"/>
        </w:rPr>
        <w:t xml:space="preserve"> </w:t>
      </w:r>
      <w:r>
        <w:rPr>
          <w:rFonts w:ascii="Times New Roman" w:hAnsi="Times New Roman" w:cs="Times New Roman"/>
          <w:sz w:val="28"/>
          <w:szCs w:val="28"/>
          <w:lang w:eastAsia="uk-UA"/>
        </w:rPr>
        <w:t xml:space="preserve"> </w:t>
      </w:r>
      <w:r w:rsidRPr="00FA7E6B">
        <w:rPr>
          <w:rFonts w:ascii="Times New Roman" w:hAnsi="Times New Roman" w:cs="Times New Roman"/>
          <w:sz w:val="28"/>
          <w:szCs w:val="28"/>
          <w:lang w:eastAsia="uk-UA"/>
        </w:rPr>
        <w:t xml:space="preserve">відсотка більше суми договорів, укладених протягом аналогічного періоду у 2014 році -  </w:t>
      </w:r>
      <w:r>
        <w:rPr>
          <w:rFonts w:ascii="Times New Roman" w:hAnsi="Times New Roman" w:cs="Times New Roman"/>
          <w:sz w:val="28"/>
          <w:szCs w:val="28"/>
        </w:rPr>
        <w:t>126 735 421,2</w:t>
      </w:r>
      <w:r w:rsidRPr="00FA7E6B">
        <w:rPr>
          <w:rFonts w:ascii="Times New Roman" w:hAnsi="Times New Roman" w:cs="Times New Roman"/>
          <w:sz w:val="28"/>
          <w:szCs w:val="28"/>
        </w:rPr>
        <w:t xml:space="preserve"> </w:t>
      </w:r>
      <w:r w:rsidRPr="00FA7E6B">
        <w:rPr>
          <w:rFonts w:ascii="Times New Roman" w:hAnsi="Times New Roman" w:cs="Times New Roman"/>
          <w:sz w:val="28"/>
          <w:szCs w:val="28"/>
          <w:lang w:eastAsia="uk-UA"/>
        </w:rPr>
        <w:t>тис. грн.</w:t>
      </w:r>
      <w:r>
        <w:rPr>
          <w:rFonts w:ascii="Times New Roman" w:hAnsi="Times New Roman" w:cs="Times New Roman"/>
          <w:sz w:val="28"/>
          <w:szCs w:val="28"/>
          <w:lang w:eastAsia="uk-UA"/>
        </w:rPr>
        <w:t xml:space="preserve"> </w:t>
      </w:r>
      <w:r w:rsidRPr="00FA7E6B">
        <w:rPr>
          <w:rFonts w:ascii="Times New Roman" w:hAnsi="Times New Roman" w:cs="Times New Roman"/>
          <w:sz w:val="28"/>
          <w:szCs w:val="28"/>
          <w:lang w:eastAsia="uk-UA"/>
        </w:rPr>
        <w:t>(Табл. 1).</w:t>
      </w:r>
    </w:p>
    <w:p w:rsidR="00B008B9" w:rsidRDefault="00B008B9" w:rsidP="002E66D6">
      <w:pPr>
        <w:spacing w:after="0" w:line="360" w:lineRule="auto"/>
        <w:jc w:val="right"/>
        <w:outlineLvl w:val="0"/>
        <w:rPr>
          <w:rFonts w:ascii="Times New Roman" w:hAnsi="Times New Roman" w:cs="Times New Roman"/>
          <w:sz w:val="28"/>
          <w:szCs w:val="28"/>
          <w:lang w:eastAsia="uk-UA"/>
        </w:rPr>
      </w:pPr>
    </w:p>
    <w:p w:rsidR="00B008B9" w:rsidRPr="004212E5" w:rsidRDefault="00B008B9" w:rsidP="002E66D6">
      <w:pPr>
        <w:spacing w:after="0" w:line="360" w:lineRule="auto"/>
        <w:jc w:val="right"/>
        <w:outlineLvl w:val="0"/>
        <w:rPr>
          <w:rFonts w:ascii="Times New Roman" w:hAnsi="Times New Roman" w:cs="Times New Roman"/>
          <w:sz w:val="28"/>
          <w:szCs w:val="28"/>
          <w:lang w:eastAsia="uk-UA"/>
        </w:rPr>
      </w:pPr>
      <w:r w:rsidRPr="004212E5">
        <w:rPr>
          <w:rFonts w:ascii="Times New Roman" w:hAnsi="Times New Roman" w:cs="Times New Roman"/>
          <w:sz w:val="28"/>
          <w:szCs w:val="28"/>
          <w:lang w:eastAsia="uk-UA"/>
        </w:rPr>
        <w:t xml:space="preserve">Таблиця 1 </w:t>
      </w:r>
    </w:p>
    <w:p w:rsidR="00B008B9" w:rsidRPr="008325D2" w:rsidRDefault="00B008B9" w:rsidP="002E66D6">
      <w:pPr>
        <w:spacing w:after="0" w:line="360" w:lineRule="auto"/>
        <w:jc w:val="center"/>
        <w:outlineLvl w:val="0"/>
        <w:rPr>
          <w:rFonts w:ascii="Times New Roman" w:hAnsi="Times New Roman" w:cs="Times New Roman"/>
          <w:b/>
          <w:bCs/>
          <w:sz w:val="28"/>
          <w:szCs w:val="28"/>
          <w:lang w:eastAsia="uk-UA"/>
        </w:rPr>
      </w:pPr>
      <w:r w:rsidRPr="008325D2">
        <w:rPr>
          <w:rFonts w:ascii="Times New Roman" w:hAnsi="Times New Roman" w:cs="Times New Roman"/>
          <w:b/>
          <w:bCs/>
          <w:sz w:val="28"/>
          <w:szCs w:val="28"/>
          <w:lang w:eastAsia="uk-UA"/>
        </w:rPr>
        <w:t xml:space="preserve">Вартісна характеристика оголошень про результати </w:t>
      </w:r>
    </w:p>
    <w:p w:rsidR="00B008B9" w:rsidRPr="008325D2" w:rsidRDefault="00B008B9" w:rsidP="002E66D6">
      <w:pPr>
        <w:spacing w:after="0" w:line="360" w:lineRule="auto"/>
        <w:jc w:val="center"/>
        <w:rPr>
          <w:rFonts w:ascii="Times New Roman" w:hAnsi="Times New Roman" w:cs="Times New Roman"/>
          <w:b/>
          <w:bCs/>
          <w:sz w:val="28"/>
          <w:szCs w:val="28"/>
          <w:lang w:eastAsia="uk-UA"/>
        </w:rPr>
      </w:pPr>
      <w:r w:rsidRPr="008325D2">
        <w:rPr>
          <w:rFonts w:ascii="Times New Roman" w:hAnsi="Times New Roman" w:cs="Times New Roman"/>
          <w:b/>
          <w:bCs/>
          <w:sz w:val="28"/>
          <w:szCs w:val="28"/>
          <w:lang w:eastAsia="uk-UA"/>
        </w:rPr>
        <w:t xml:space="preserve">процедур закупівлі, оприлюднених на веб-порталі протягом </w:t>
      </w:r>
    </w:p>
    <w:p w:rsidR="00B008B9" w:rsidRPr="001777E5" w:rsidRDefault="00B008B9" w:rsidP="002E66D6">
      <w:pPr>
        <w:spacing w:after="0" w:line="360" w:lineRule="auto"/>
        <w:jc w:val="center"/>
        <w:rPr>
          <w:rFonts w:ascii="Times New Roman" w:hAnsi="Times New Roman" w:cs="Times New Roman"/>
          <w:b/>
          <w:bCs/>
          <w:sz w:val="28"/>
          <w:szCs w:val="28"/>
          <w:lang w:eastAsia="uk-UA"/>
        </w:rPr>
      </w:pPr>
      <w:r w:rsidRPr="008325D2">
        <w:rPr>
          <w:rFonts w:ascii="Times New Roman" w:hAnsi="Times New Roman" w:cs="Times New Roman"/>
          <w:b/>
          <w:bCs/>
          <w:sz w:val="28"/>
          <w:szCs w:val="28"/>
          <w:lang w:eastAsia="uk-UA"/>
        </w:rPr>
        <w:t xml:space="preserve">січня – </w:t>
      </w:r>
      <w:r w:rsidRPr="001777E5">
        <w:rPr>
          <w:rFonts w:ascii="Times New Roman" w:hAnsi="Times New Roman" w:cs="Times New Roman"/>
          <w:b/>
          <w:bCs/>
          <w:sz w:val="28"/>
          <w:szCs w:val="28"/>
          <w:lang w:val="ru-RU" w:eastAsia="uk-UA"/>
        </w:rPr>
        <w:t>грудня</w:t>
      </w:r>
      <w:r w:rsidRPr="001777E5">
        <w:rPr>
          <w:rFonts w:ascii="Times New Roman" w:hAnsi="Times New Roman" w:cs="Times New Roman"/>
          <w:b/>
          <w:bCs/>
          <w:sz w:val="28"/>
          <w:szCs w:val="28"/>
          <w:lang w:eastAsia="uk-UA"/>
        </w:rPr>
        <w:t xml:space="preserve"> 2014 року та січня – грудня 2015 року</w:t>
      </w:r>
    </w:p>
    <w:p w:rsidR="00B008B9" w:rsidRPr="001777E5" w:rsidRDefault="00B008B9" w:rsidP="002E66D6">
      <w:pPr>
        <w:spacing w:after="0" w:line="360" w:lineRule="auto"/>
        <w:jc w:val="right"/>
        <w:rPr>
          <w:rFonts w:ascii="Times New Roman" w:hAnsi="Times New Roman" w:cs="Times New Roman"/>
          <w:sz w:val="28"/>
          <w:szCs w:val="28"/>
          <w:lang w:eastAsia="uk-UA"/>
        </w:rPr>
      </w:pPr>
      <w:r w:rsidRPr="001777E5">
        <w:rPr>
          <w:rFonts w:ascii="Times New Roman" w:hAnsi="Times New Roman" w:cs="Times New Roman"/>
          <w:sz w:val="28"/>
          <w:szCs w:val="28"/>
          <w:lang w:eastAsia="uk-UA"/>
        </w:rPr>
        <w:t>тис. грн.</w:t>
      </w:r>
    </w:p>
    <w:tbl>
      <w:tblPr>
        <w:tblW w:w="9819" w:type="dxa"/>
        <w:tblInd w:w="-106" w:type="dxa"/>
        <w:tblLayout w:type="fixed"/>
        <w:tblLook w:val="0000"/>
      </w:tblPr>
      <w:tblGrid>
        <w:gridCol w:w="3582"/>
        <w:gridCol w:w="2127"/>
        <w:gridCol w:w="992"/>
        <w:gridCol w:w="1984"/>
        <w:gridCol w:w="1134"/>
      </w:tblGrid>
      <w:tr w:rsidR="00B008B9" w:rsidRPr="001777E5" w:rsidTr="00392821">
        <w:trPr>
          <w:trHeight w:val="865"/>
          <w:tblHeader/>
        </w:trPr>
        <w:tc>
          <w:tcPr>
            <w:tcW w:w="3582" w:type="dxa"/>
            <w:vMerge w:val="restart"/>
            <w:tcBorders>
              <w:top w:val="single" w:sz="4" w:space="0" w:color="auto"/>
              <w:bottom w:val="single" w:sz="4" w:space="0" w:color="auto"/>
              <w:right w:val="single" w:sz="4" w:space="0" w:color="auto"/>
            </w:tcBorders>
            <w:shd w:val="clear" w:color="auto" w:fill="002060"/>
            <w:noWrap/>
            <w:vAlign w:val="center"/>
          </w:tcPr>
          <w:p w:rsidR="00B008B9" w:rsidRPr="001777E5" w:rsidRDefault="00B008B9" w:rsidP="002E66D6">
            <w:pPr>
              <w:spacing w:after="0" w:line="360" w:lineRule="auto"/>
              <w:jc w:val="center"/>
              <w:rPr>
                <w:rFonts w:ascii="Times New Roman" w:hAnsi="Times New Roman" w:cs="Times New Roman"/>
                <w:sz w:val="28"/>
                <w:szCs w:val="28"/>
                <w:lang w:eastAsia="uk-UA"/>
              </w:rPr>
            </w:pPr>
          </w:p>
          <w:p w:rsidR="00B008B9" w:rsidRPr="001777E5" w:rsidRDefault="00B008B9" w:rsidP="002E66D6">
            <w:pPr>
              <w:spacing w:after="0" w:line="360" w:lineRule="auto"/>
              <w:jc w:val="center"/>
              <w:rPr>
                <w:rFonts w:ascii="Times New Roman" w:hAnsi="Times New Roman" w:cs="Times New Roman"/>
                <w:sz w:val="28"/>
                <w:szCs w:val="28"/>
                <w:lang w:eastAsia="uk-UA"/>
              </w:rPr>
            </w:pPr>
            <w:r w:rsidRPr="001777E5">
              <w:rPr>
                <w:rFonts w:ascii="Times New Roman" w:hAnsi="Times New Roman" w:cs="Times New Roman"/>
                <w:sz w:val="28"/>
                <w:szCs w:val="28"/>
                <w:lang w:eastAsia="uk-UA"/>
              </w:rPr>
              <w:t>Процедура закупівлі</w:t>
            </w:r>
          </w:p>
        </w:tc>
        <w:tc>
          <w:tcPr>
            <w:tcW w:w="6237" w:type="dxa"/>
            <w:gridSpan w:val="4"/>
            <w:tcBorders>
              <w:top w:val="single" w:sz="4" w:space="0" w:color="auto"/>
              <w:left w:val="single" w:sz="4" w:space="0" w:color="auto"/>
            </w:tcBorders>
            <w:shd w:val="clear" w:color="auto" w:fill="002060"/>
            <w:vAlign w:val="center"/>
          </w:tcPr>
          <w:p w:rsidR="00B008B9" w:rsidRPr="001777E5" w:rsidRDefault="00B008B9" w:rsidP="002E66D6">
            <w:pPr>
              <w:tabs>
                <w:tab w:val="left" w:pos="4692"/>
                <w:tab w:val="left" w:pos="4752"/>
              </w:tabs>
              <w:spacing w:after="0" w:line="360" w:lineRule="auto"/>
              <w:jc w:val="center"/>
              <w:rPr>
                <w:rFonts w:ascii="Times New Roman" w:hAnsi="Times New Roman" w:cs="Times New Roman"/>
                <w:sz w:val="28"/>
                <w:szCs w:val="28"/>
                <w:lang w:eastAsia="uk-UA"/>
              </w:rPr>
            </w:pPr>
            <w:r w:rsidRPr="001777E5">
              <w:rPr>
                <w:rFonts w:ascii="Times New Roman" w:hAnsi="Times New Roman" w:cs="Times New Roman"/>
                <w:sz w:val="28"/>
                <w:szCs w:val="28"/>
                <w:lang w:eastAsia="uk-UA"/>
              </w:rPr>
              <w:t xml:space="preserve">Загальна вартість укладених договорів на закупівлю товарів, робіт і послуг </w:t>
            </w:r>
          </w:p>
        </w:tc>
      </w:tr>
      <w:tr w:rsidR="00B008B9" w:rsidRPr="001777E5" w:rsidTr="00392821">
        <w:trPr>
          <w:trHeight w:val="334"/>
          <w:tblHeader/>
        </w:trPr>
        <w:tc>
          <w:tcPr>
            <w:tcW w:w="3582" w:type="dxa"/>
            <w:vMerge/>
            <w:tcBorders>
              <w:top w:val="single" w:sz="4" w:space="0" w:color="auto"/>
              <w:bottom w:val="single" w:sz="4" w:space="0" w:color="auto"/>
              <w:right w:val="single" w:sz="4" w:space="0" w:color="auto"/>
            </w:tcBorders>
            <w:shd w:val="clear" w:color="auto" w:fill="002060"/>
            <w:vAlign w:val="center"/>
          </w:tcPr>
          <w:p w:rsidR="00B008B9" w:rsidRPr="001777E5" w:rsidRDefault="00B008B9" w:rsidP="002E66D6">
            <w:pPr>
              <w:spacing w:after="0" w:line="360" w:lineRule="auto"/>
              <w:jc w:val="center"/>
              <w:rPr>
                <w:rFonts w:ascii="Times New Roman" w:hAnsi="Times New Roman" w:cs="Times New Roman"/>
                <w:sz w:val="28"/>
                <w:szCs w:val="28"/>
                <w:lang w:eastAsia="uk-UA"/>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rsidR="00B008B9" w:rsidRPr="001777E5" w:rsidRDefault="00B008B9" w:rsidP="002E66D6">
            <w:pPr>
              <w:spacing w:after="0" w:line="360" w:lineRule="auto"/>
              <w:jc w:val="center"/>
              <w:rPr>
                <w:rFonts w:ascii="Times New Roman" w:hAnsi="Times New Roman" w:cs="Times New Roman"/>
                <w:sz w:val="28"/>
                <w:szCs w:val="28"/>
                <w:lang w:eastAsia="uk-UA"/>
              </w:rPr>
            </w:pPr>
            <w:r w:rsidRPr="001777E5">
              <w:rPr>
                <w:rFonts w:ascii="Times New Roman" w:hAnsi="Times New Roman" w:cs="Times New Roman"/>
                <w:sz w:val="28"/>
                <w:szCs w:val="28"/>
                <w:lang w:eastAsia="uk-UA"/>
              </w:rPr>
              <w:t>січень – грудень 2014 року</w:t>
            </w:r>
          </w:p>
        </w:tc>
        <w:tc>
          <w:tcPr>
            <w:tcW w:w="3118" w:type="dxa"/>
            <w:gridSpan w:val="2"/>
            <w:tcBorders>
              <w:top w:val="single" w:sz="4" w:space="0" w:color="auto"/>
              <w:left w:val="single" w:sz="4" w:space="0" w:color="auto"/>
              <w:bottom w:val="single" w:sz="4" w:space="0" w:color="auto"/>
            </w:tcBorders>
            <w:shd w:val="clear" w:color="auto" w:fill="002060"/>
            <w:vAlign w:val="center"/>
          </w:tcPr>
          <w:p w:rsidR="00B008B9" w:rsidRPr="001777E5" w:rsidRDefault="00B008B9" w:rsidP="002E66D6">
            <w:pPr>
              <w:spacing w:after="0" w:line="360" w:lineRule="auto"/>
              <w:jc w:val="center"/>
              <w:rPr>
                <w:rFonts w:ascii="Times New Roman" w:hAnsi="Times New Roman" w:cs="Times New Roman"/>
                <w:sz w:val="28"/>
                <w:szCs w:val="28"/>
                <w:lang w:eastAsia="uk-UA"/>
              </w:rPr>
            </w:pPr>
            <w:r w:rsidRPr="001777E5">
              <w:rPr>
                <w:rFonts w:ascii="Times New Roman" w:hAnsi="Times New Roman" w:cs="Times New Roman"/>
                <w:sz w:val="28"/>
                <w:szCs w:val="28"/>
                <w:lang w:eastAsia="uk-UA"/>
              </w:rPr>
              <w:t xml:space="preserve">січень –грудень 2015 року </w:t>
            </w:r>
          </w:p>
        </w:tc>
      </w:tr>
      <w:tr w:rsidR="00B008B9" w:rsidRPr="001777E5" w:rsidTr="00392821">
        <w:trPr>
          <w:trHeight w:val="471"/>
          <w:tblHeader/>
        </w:trPr>
        <w:tc>
          <w:tcPr>
            <w:tcW w:w="3582" w:type="dxa"/>
            <w:vMerge/>
            <w:tcBorders>
              <w:top w:val="single" w:sz="4" w:space="0" w:color="auto"/>
              <w:bottom w:val="single" w:sz="4" w:space="0" w:color="auto"/>
              <w:right w:val="single" w:sz="4" w:space="0" w:color="auto"/>
            </w:tcBorders>
            <w:shd w:val="clear" w:color="auto" w:fill="002060"/>
            <w:vAlign w:val="center"/>
          </w:tcPr>
          <w:p w:rsidR="00B008B9" w:rsidRPr="001777E5" w:rsidRDefault="00B008B9" w:rsidP="002E66D6">
            <w:pPr>
              <w:spacing w:after="0" w:line="360" w:lineRule="auto"/>
              <w:jc w:val="center"/>
              <w:rPr>
                <w:rFonts w:ascii="Times New Roman" w:hAnsi="Times New Roman" w:cs="Times New Roman"/>
                <w:sz w:val="28"/>
                <w:szCs w:val="28"/>
                <w:lang w:eastAsia="uk-UA"/>
              </w:rPr>
            </w:pPr>
          </w:p>
        </w:tc>
        <w:tc>
          <w:tcPr>
            <w:tcW w:w="2127" w:type="dxa"/>
            <w:tcBorders>
              <w:top w:val="single" w:sz="4" w:space="0" w:color="auto"/>
              <w:left w:val="single" w:sz="4" w:space="0" w:color="auto"/>
              <w:bottom w:val="single" w:sz="4" w:space="0" w:color="auto"/>
              <w:right w:val="single" w:sz="4" w:space="0" w:color="auto"/>
            </w:tcBorders>
            <w:shd w:val="clear" w:color="auto" w:fill="002060"/>
            <w:vAlign w:val="center"/>
          </w:tcPr>
          <w:p w:rsidR="00B008B9" w:rsidRPr="001777E5" w:rsidRDefault="00B008B9" w:rsidP="002E66D6">
            <w:pPr>
              <w:spacing w:after="0" w:line="360" w:lineRule="auto"/>
              <w:jc w:val="center"/>
              <w:rPr>
                <w:rFonts w:ascii="Times New Roman" w:hAnsi="Times New Roman" w:cs="Times New Roman"/>
                <w:sz w:val="28"/>
                <w:szCs w:val="28"/>
                <w:lang w:eastAsia="uk-UA"/>
              </w:rPr>
            </w:pPr>
            <w:r w:rsidRPr="001777E5">
              <w:rPr>
                <w:rFonts w:ascii="Times New Roman" w:hAnsi="Times New Roman" w:cs="Times New Roman"/>
                <w:sz w:val="28"/>
                <w:szCs w:val="28"/>
                <w:lang w:eastAsia="uk-UA"/>
              </w:rPr>
              <w:t>тис. грн.</w:t>
            </w:r>
          </w:p>
        </w:tc>
        <w:tc>
          <w:tcPr>
            <w:tcW w:w="992" w:type="dxa"/>
            <w:tcBorders>
              <w:top w:val="single" w:sz="4" w:space="0" w:color="auto"/>
              <w:left w:val="single" w:sz="4" w:space="0" w:color="auto"/>
              <w:bottom w:val="single" w:sz="4" w:space="0" w:color="auto"/>
              <w:right w:val="single" w:sz="4" w:space="0" w:color="auto"/>
            </w:tcBorders>
            <w:shd w:val="clear" w:color="auto" w:fill="002060"/>
            <w:vAlign w:val="center"/>
          </w:tcPr>
          <w:p w:rsidR="00B008B9" w:rsidRPr="001777E5" w:rsidRDefault="00B008B9" w:rsidP="002E66D6">
            <w:pPr>
              <w:spacing w:after="0" w:line="360" w:lineRule="auto"/>
              <w:jc w:val="center"/>
              <w:rPr>
                <w:rFonts w:ascii="Times New Roman" w:hAnsi="Times New Roman" w:cs="Times New Roman"/>
                <w:sz w:val="28"/>
                <w:szCs w:val="28"/>
                <w:lang w:eastAsia="uk-UA"/>
              </w:rPr>
            </w:pPr>
            <w:r w:rsidRPr="001777E5">
              <w:rPr>
                <w:rFonts w:ascii="Times New Roman" w:hAnsi="Times New Roman" w:cs="Times New Roman"/>
                <w:sz w:val="28"/>
                <w:szCs w:val="28"/>
                <w:lang w:eastAsia="uk-UA"/>
              </w:rPr>
              <w:t>%</w:t>
            </w:r>
          </w:p>
        </w:tc>
        <w:tc>
          <w:tcPr>
            <w:tcW w:w="1984" w:type="dxa"/>
            <w:tcBorders>
              <w:top w:val="single" w:sz="4" w:space="0" w:color="auto"/>
              <w:left w:val="single" w:sz="4" w:space="0" w:color="auto"/>
              <w:bottom w:val="single" w:sz="4" w:space="0" w:color="auto"/>
              <w:right w:val="single" w:sz="4" w:space="0" w:color="auto"/>
            </w:tcBorders>
            <w:shd w:val="clear" w:color="auto" w:fill="002060"/>
            <w:vAlign w:val="center"/>
          </w:tcPr>
          <w:p w:rsidR="00B008B9" w:rsidRPr="001777E5" w:rsidRDefault="00B008B9" w:rsidP="002E66D6">
            <w:pPr>
              <w:spacing w:after="0" w:line="360" w:lineRule="auto"/>
              <w:jc w:val="center"/>
              <w:rPr>
                <w:rFonts w:ascii="Times New Roman" w:hAnsi="Times New Roman" w:cs="Times New Roman"/>
                <w:sz w:val="28"/>
                <w:szCs w:val="28"/>
                <w:lang w:eastAsia="uk-UA"/>
              </w:rPr>
            </w:pPr>
            <w:r w:rsidRPr="001777E5">
              <w:rPr>
                <w:rFonts w:ascii="Times New Roman" w:hAnsi="Times New Roman" w:cs="Times New Roman"/>
                <w:sz w:val="28"/>
                <w:szCs w:val="28"/>
                <w:lang w:eastAsia="uk-UA"/>
              </w:rPr>
              <w:t>Тис. грн.</w:t>
            </w:r>
          </w:p>
        </w:tc>
        <w:tc>
          <w:tcPr>
            <w:tcW w:w="1134" w:type="dxa"/>
            <w:tcBorders>
              <w:top w:val="single" w:sz="4" w:space="0" w:color="auto"/>
              <w:left w:val="single" w:sz="4" w:space="0" w:color="auto"/>
              <w:bottom w:val="single" w:sz="4" w:space="0" w:color="auto"/>
            </w:tcBorders>
            <w:shd w:val="clear" w:color="auto" w:fill="002060"/>
            <w:noWrap/>
            <w:vAlign w:val="center"/>
          </w:tcPr>
          <w:p w:rsidR="00B008B9" w:rsidRPr="001777E5" w:rsidRDefault="00B008B9" w:rsidP="002E66D6">
            <w:pPr>
              <w:spacing w:after="0" w:line="360" w:lineRule="auto"/>
              <w:jc w:val="center"/>
              <w:rPr>
                <w:rFonts w:ascii="Times New Roman" w:hAnsi="Times New Roman" w:cs="Times New Roman"/>
                <w:sz w:val="28"/>
                <w:szCs w:val="28"/>
                <w:lang w:eastAsia="uk-UA"/>
              </w:rPr>
            </w:pPr>
            <w:r w:rsidRPr="001777E5">
              <w:rPr>
                <w:rFonts w:ascii="Times New Roman" w:hAnsi="Times New Roman" w:cs="Times New Roman"/>
                <w:sz w:val="28"/>
                <w:szCs w:val="28"/>
                <w:lang w:eastAsia="uk-UA"/>
              </w:rPr>
              <w:t>%</w:t>
            </w:r>
          </w:p>
        </w:tc>
      </w:tr>
      <w:tr w:rsidR="00B008B9" w:rsidRPr="001777E5" w:rsidTr="00FA2F06">
        <w:trPr>
          <w:trHeight w:val="405"/>
        </w:trPr>
        <w:tc>
          <w:tcPr>
            <w:tcW w:w="3582" w:type="dxa"/>
            <w:tcBorders>
              <w:top w:val="single" w:sz="4" w:space="0" w:color="auto"/>
            </w:tcBorders>
            <w:shd w:val="clear" w:color="auto" w:fill="FFFFFF"/>
            <w:vAlign w:val="center"/>
          </w:tcPr>
          <w:p w:rsidR="00B008B9" w:rsidRPr="001777E5" w:rsidRDefault="00B008B9" w:rsidP="002E66D6">
            <w:pPr>
              <w:spacing w:after="0" w:line="360" w:lineRule="auto"/>
              <w:rPr>
                <w:rFonts w:ascii="Times New Roman" w:hAnsi="Times New Roman" w:cs="Times New Roman"/>
                <w:sz w:val="28"/>
                <w:szCs w:val="28"/>
                <w:lang w:eastAsia="uk-UA"/>
              </w:rPr>
            </w:pPr>
            <w:r w:rsidRPr="001777E5">
              <w:rPr>
                <w:rFonts w:ascii="Times New Roman" w:hAnsi="Times New Roman" w:cs="Times New Roman"/>
                <w:sz w:val="28"/>
                <w:szCs w:val="28"/>
                <w:lang w:eastAsia="uk-UA"/>
              </w:rPr>
              <w:t>Конкурентні процедури</w:t>
            </w:r>
          </w:p>
        </w:tc>
        <w:tc>
          <w:tcPr>
            <w:tcW w:w="2127" w:type="dxa"/>
            <w:tcBorders>
              <w:top w:val="single" w:sz="4" w:space="0" w:color="auto"/>
              <w:left w:val="nil"/>
            </w:tcBorders>
            <w:shd w:val="clear" w:color="auto" w:fill="FFFFFF"/>
            <w:vAlign w:val="center"/>
          </w:tcPr>
          <w:p w:rsidR="00B008B9" w:rsidRPr="001777E5" w:rsidRDefault="00B008B9" w:rsidP="002E66D6">
            <w:pPr>
              <w:spacing w:after="0"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88 922 163,04</w:t>
            </w:r>
          </w:p>
        </w:tc>
        <w:tc>
          <w:tcPr>
            <w:tcW w:w="992" w:type="dxa"/>
            <w:tcBorders>
              <w:top w:val="single" w:sz="4" w:space="0" w:color="auto"/>
            </w:tcBorders>
            <w:shd w:val="clear" w:color="auto" w:fill="FFFFFF"/>
            <w:vAlign w:val="center"/>
          </w:tcPr>
          <w:p w:rsidR="00B008B9" w:rsidRPr="001777E5" w:rsidRDefault="00B008B9" w:rsidP="002E66D6">
            <w:pPr>
              <w:spacing w:after="0"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70,16</w:t>
            </w:r>
          </w:p>
        </w:tc>
        <w:tc>
          <w:tcPr>
            <w:tcW w:w="1984" w:type="dxa"/>
            <w:tcBorders>
              <w:top w:val="single" w:sz="4" w:space="0" w:color="auto"/>
            </w:tcBorders>
            <w:shd w:val="clear" w:color="auto" w:fill="FFFFFF"/>
            <w:vAlign w:val="center"/>
          </w:tcPr>
          <w:p w:rsidR="00B008B9" w:rsidRPr="001777E5" w:rsidRDefault="00B008B9" w:rsidP="002E66D6">
            <w:pPr>
              <w:spacing w:after="0" w:line="360" w:lineRule="auto"/>
              <w:jc w:val="center"/>
              <w:rPr>
                <w:rFonts w:ascii="Times New Roman" w:hAnsi="Times New Roman" w:cs="Times New Roman"/>
                <w:sz w:val="28"/>
                <w:szCs w:val="28"/>
                <w:lang w:eastAsia="uk-UA"/>
              </w:rPr>
            </w:pPr>
          </w:p>
          <w:p w:rsidR="00B008B9" w:rsidRPr="001777E5" w:rsidRDefault="00B008B9" w:rsidP="002E66D6">
            <w:pPr>
              <w:spacing w:after="0"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107 709 424,60</w:t>
            </w:r>
          </w:p>
          <w:p w:rsidR="00B008B9" w:rsidRPr="001777E5" w:rsidRDefault="00B008B9" w:rsidP="002E66D6">
            <w:pPr>
              <w:spacing w:after="0" w:line="360" w:lineRule="auto"/>
              <w:jc w:val="center"/>
              <w:rPr>
                <w:rFonts w:ascii="Times New Roman" w:hAnsi="Times New Roman" w:cs="Times New Roman"/>
                <w:sz w:val="28"/>
                <w:szCs w:val="28"/>
                <w:lang w:eastAsia="uk-UA"/>
              </w:rPr>
            </w:pPr>
          </w:p>
        </w:tc>
        <w:tc>
          <w:tcPr>
            <w:tcW w:w="1134" w:type="dxa"/>
            <w:tcBorders>
              <w:top w:val="single" w:sz="4" w:space="0" w:color="auto"/>
            </w:tcBorders>
            <w:shd w:val="clear" w:color="auto" w:fill="FFFFFF"/>
            <w:noWrap/>
            <w:vAlign w:val="center"/>
          </w:tcPr>
          <w:p w:rsidR="00B008B9" w:rsidRPr="001777E5" w:rsidRDefault="00B008B9" w:rsidP="002E66D6">
            <w:pPr>
              <w:spacing w:after="0"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55,97</w:t>
            </w:r>
          </w:p>
        </w:tc>
      </w:tr>
      <w:tr w:rsidR="00B008B9" w:rsidRPr="001777E5" w:rsidTr="004068CA">
        <w:trPr>
          <w:trHeight w:val="538"/>
        </w:trPr>
        <w:tc>
          <w:tcPr>
            <w:tcW w:w="3582" w:type="dxa"/>
            <w:shd w:val="clear" w:color="auto" w:fill="F2F2F2"/>
            <w:vAlign w:val="center"/>
          </w:tcPr>
          <w:p w:rsidR="00B008B9" w:rsidRPr="001777E5" w:rsidRDefault="00B008B9" w:rsidP="002E66D6">
            <w:pPr>
              <w:spacing w:after="0" w:line="360" w:lineRule="auto"/>
              <w:rPr>
                <w:rFonts w:ascii="Times New Roman" w:hAnsi="Times New Roman" w:cs="Times New Roman"/>
                <w:sz w:val="28"/>
                <w:szCs w:val="28"/>
                <w:lang w:eastAsia="uk-UA"/>
              </w:rPr>
            </w:pPr>
            <w:r w:rsidRPr="001777E5">
              <w:rPr>
                <w:rFonts w:ascii="Times New Roman" w:hAnsi="Times New Roman" w:cs="Times New Roman"/>
                <w:sz w:val="28"/>
                <w:szCs w:val="28"/>
                <w:lang w:eastAsia="uk-UA"/>
              </w:rPr>
              <w:t>Неконкурентні процедури</w:t>
            </w:r>
          </w:p>
        </w:tc>
        <w:tc>
          <w:tcPr>
            <w:tcW w:w="2127" w:type="dxa"/>
            <w:tcBorders>
              <w:left w:val="nil"/>
            </w:tcBorders>
            <w:shd w:val="clear" w:color="auto" w:fill="F2F2F2"/>
            <w:vAlign w:val="center"/>
          </w:tcPr>
          <w:p w:rsidR="00B008B9" w:rsidRPr="001777E5" w:rsidRDefault="00B008B9" w:rsidP="002E66D6">
            <w:pPr>
              <w:spacing w:after="0"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37 813 258,19</w:t>
            </w:r>
          </w:p>
        </w:tc>
        <w:tc>
          <w:tcPr>
            <w:tcW w:w="992" w:type="dxa"/>
            <w:shd w:val="clear" w:color="auto" w:fill="F2F2F2"/>
            <w:vAlign w:val="center"/>
          </w:tcPr>
          <w:p w:rsidR="00B008B9" w:rsidRPr="001777E5" w:rsidRDefault="00B008B9" w:rsidP="002E66D6">
            <w:pPr>
              <w:spacing w:after="0"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29,84</w:t>
            </w:r>
          </w:p>
        </w:tc>
        <w:tc>
          <w:tcPr>
            <w:tcW w:w="1984" w:type="dxa"/>
            <w:shd w:val="clear" w:color="auto" w:fill="F2F2F2"/>
            <w:vAlign w:val="center"/>
          </w:tcPr>
          <w:p w:rsidR="00B008B9" w:rsidRPr="001777E5" w:rsidRDefault="00B008B9" w:rsidP="002E66D6">
            <w:pPr>
              <w:spacing w:after="0" w:line="360" w:lineRule="auto"/>
              <w:jc w:val="center"/>
              <w:rPr>
                <w:rFonts w:ascii="Times New Roman" w:hAnsi="Times New Roman" w:cs="Times New Roman"/>
                <w:sz w:val="28"/>
                <w:szCs w:val="28"/>
                <w:lang w:eastAsia="uk-UA"/>
              </w:rPr>
            </w:pPr>
          </w:p>
          <w:p w:rsidR="00B008B9" w:rsidRPr="001777E5" w:rsidRDefault="00B008B9" w:rsidP="002E66D6">
            <w:pPr>
              <w:spacing w:after="0"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84 703 497,89</w:t>
            </w:r>
          </w:p>
          <w:p w:rsidR="00B008B9" w:rsidRPr="001777E5" w:rsidRDefault="00B008B9" w:rsidP="002E66D6">
            <w:pPr>
              <w:spacing w:after="0" w:line="360" w:lineRule="auto"/>
              <w:jc w:val="center"/>
              <w:rPr>
                <w:rFonts w:ascii="Times New Roman" w:hAnsi="Times New Roman" w:cs="Times New Roman"/>
                <w:sz w:val="28"/>
                <w:szCs w:val="28"/>
                <w:lang w:eastAsia="uk-UA"/>
              </w:rPr>
            </w:pPr>
          </w:p>
        </w:tc>
        <w:tc>
          <w:tcPr>
            <w:tcW w:w="1134" w:type="dxa"/>
            <w:shd w:val="clear" w:color="auto" w:fill="F2F2F2"/>
            <w:noWrap/>
            <w:vAlign w:val="center"/>
          </w:tcPr>
          <w:p w:rsidR="00B008B9" w:rsidRPr="001777E5" w:rsidRDefault="00B008B9" w:rsidP="002E66D6">
            <w:pPr>
              <w:spacing w:after="0"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44,02</w:t>
            </w:r>
          </w:p>
        </w:tc>
      </w:tr>
      <w:tr w:rsidR="00B008B9" w:rsidRPr="001777E5" w:rsidTr="00FA2F06">
        <w:trPr>
          <w:trHeight w:val="250"/>
        </w:trPr>
        <w:tc>
          <w:tcPr>
            <w:tcW w:w="3582" w:type="dxa"/>
            <w:shd w:val="clear" w:color="auto" w:fill="FFFFFF"/>
            <w:vAlign w:val="center"/>
          </w:tcPr>
          <w:p w:rsidR="00B008B9" w:rsidRPr="001777E5" w:rsidRDefault="00B008B9" w:rsidP="002E66D6">
            <w:pPr>
              <w:spacing w:after="0" w:line="360" w:lineRule="auto"/>
              <w:ind w:left="498"/>
              <w:rPr>
                <w:rFonts w:ascii="Times New Roman" w:hAnsi="Times New Roman" w:cs="Times New Roman"/>
                <w:sz w:val="28"/>
                <w:szCs w:val="28"/>
                <w:lang w:eastAsia="uk-UA"/>
              </w:rPr>
            </w:pPr>
            <w:r w:rsidRPr="001777E5">
              <w:rPr>
                <w:rFonts w:ascii="Times New Roman" w:hAnsi="Times New Roman" w:cs="Times New Roman"/>
                <w:sz w:val="28"/>
                <w:szCs w:val="28"/>
                <w:lang w:eastAsia="uk-UA"/>
              </w:rPr>
              <w:t>У тому числі:</w:t>
            </w:r>
          </w:p>
        </w:tc>
        <w:tc>
          <w:tcPr>
            <w:tcW w:w="2127" w:type="dxa"/>
            <w:shd w:val="clear" w:color="auto" w:fill="FFFFFF"/>
            <w:vAlign w:val="center"/>
          </w:tcPr>
          <w:p w:rsidR="00B008B9" w:rsidRPr="001777E5" w:rsidRDefault="00B008B9" w:rsidP="002E66D6">
            <w:pPr>
              <w:spacing w:after="0" w:line="360" w:lineRule="auto"/>
              <w:jc w:val="center"/>
              <w:rPr>
                <w:rFonts w:ascii="Times New Roman" w:hAnsi="Times New Roman" w:cs="Times New Roman"/>
                <w:sz w:val="28"/>
                <w:szCs w:val="28"/>
                <w:lang w:eastAsia="uk-UA"/>
              </w:rPr>
            </w:pPr>
          </w:p>
        </w:tc>
        <w:tc>
          <w:tcPr>
            <w:tcW w:w="992" w:type="dxa"/>
            <w:shd w:val="clear" w:color="auto" w:fill="FFFFFF"/>
            <w:vAlign w:val="center"/>
          </w:tcPr>
          <w:p w:rsidR="00B008B9" w:rsidRPr="001777E5" w:rsidRDefault="00B008B9" w:rsidP="002E66D6">
            <w:pPr>
              <w:spacing w:after="0" w:line="360" w:lineRule="auto"/>
              <w:jc w:val="center"/>
              <w:rPr>
                <w:rFonts w:ascii="Times New Roman" w:hAnsi="Times New Roman" w:cs="Times New Roman"/>
                <w:sz w:val="28"/>
                <w:szCs w:val="28"/>
                <w:lang w:eastAsia="uk-UA"/>
              </w:rPr>
            </w:pPr>
          </w:p>
        </w:tc>
        <w:tc>
          <w:tcPr>
            <w:tcW w:w="1984" w:type="dxa"/>
            <w:shd w:val="clear" w:color="auto" w:fill="FFFFFF"/>
            <w:vAlign w:val="center"/>
          </w:tcPr>
          <w:p w:rsidR="00B008B9" w:rsidRPr="001777E5" w:rsidRDefault="00B008B9" w:rsidP="002E66D6">
            <w:pPr>
              <w:spacing w:after="0" w:line="360" w:lineRule="auto"/>
              <w:jc w:val="center"/>
              <w:rPr>
                <w:rFonts w:ascii="Times New Roman" w:hAnsi="Times New Roman" w:cs="Times New Roman"/>
                <w:sz w:val="28"/>
                <w:szCs w:val="28"/>
                <w:lang w:eastAsia="uk-UA"/>
              </w:rPr>
            </w:pPr>
          </w:p>
        </w:tc>
        <w:tc>
          <w:tcPr>
            <w:tcW w:w="1134" w:type="dxa"/>
            <w:shd w:val="clear" w:color="auto" w:fill="FFFFFF"/>
            <w:noWrap/>
            <w:vAlign w:val="center"/>
          </w:tcPr>
          <w:p w:rsidR="00B008B9" w:rsidRPr="001777E5" w:rsidRDefault="00B008B9" w:rsidP="002E66D6">
            <w:pPr>
              <w:spacing w:after="0" w:line="360" w:lineRule="auto"/>
              <w:jc w:val="center"/>
              <w:rPr>
                <w:rFonts w:ascii="Times New Roman" w:hAnsi="Times New Roman" w:cs="Times New Roman"/>
                <w:sz w:val="28"/>
                <w:szCs w:val="28"/>
                <w:lang w:eastAsia="uk-UA"/>
              </w:rPr>
            </w:pPr>
          </w:p>
        </w:tc>
      </w:tr>
      <w:tr w:rsidR="00B008B9" w:rsidRPr="00C04A34" w:rsidTr="00FA2F06">
        <w:trPr>
          <w:trHeight w:val="538"/>
        </w:trPr>
        <w:tc>
          <w:tcPr>
            <w:tcW w:w="3582" w:type="dxa"/>
            <w:shd w:val="clear" w:color="auto" w:fill="FFFFFF"/>
            <w:vAlign w:val="center"/>
          </w:tcPr>
          <w:p w:rsidR="00B008B9" w:rsidRPr="00C04A34" w:rsidRDefault="00B008B9" w:rsidP="002E66D6">
            <w:pPr>
              <w:spacing w:after="0" w:line="360" w:lineRule="auto"/>
              <w:ind w:left="498"/>
              <w:rPr>
                <w:rFonts w:ascii="Times New Roman" w:hAnsi="Times New Roman" w:cs="Times New Roman"/>
                <w:sz w:val="28"/>
                <w:szCs w:val="28"/>
                <w:lang w:eastAsia="uk-UA"/>
              </w:rPr>
            </w:pPr>
            <w:r w:rsidRPr="00C04A34">
              <w:rPr>
                <w:rFonts w:ascii="Times New Roman" w:hAnsi="Times New Roman" w:cs="Times New Roman"/>
                <w:sz w:val="28"/>
                <w:szCs w:val="28"/>
                <w:lang w:eastAsia="uk-UA"/>
              </w:rPr>
              <w:t>закупівля комунальних послуг (газо-, тепло-, водо- та електропостачання)</w:t>
            </w:r>
          </w:p>
        </w:tc>
        <w:tc>
          <w:tcPr>
            <w:tcW w:w="2127" w:type="dxa"/>
            <w:shd w:val="clear" w:color="auto" w:fill="FFFFFF"/>
            <w:vAlign w:val="center"/>
          </w:tcPr>
          <w:p w:rsidR="00B008B9" w:rsidRPr="00C04A34" w:rsidRDefault="00B008B9" w:rsidP="002E66D6">
            <w:pPr>
              <w:spacing w:after="0" w:line="360" w:lineRule="auto"/>
              <w:ind w:left="18"/>
              <w:jc w:val="center"/>
              <w:rPr>
                <w:rFonts w:ascii="Times New Roman" w:hAnsi="Times New Roman" w:cs="Times New Roman"/>
                <w:sz w:val="28"/>
                <w:szCs w:val="28"/>
                <w:lang w:eastAsia="uk-UA"/>
              </w:rPr>
            </w:pPr>
            <w:r w:rsidRPr="00C04A34">
              <w:rPr>
                <w:rFonts w:ascii="Times New Roman" w:hAnsi="Times New Roman" w:cs="Times New Roman"/>
                <w:sz w:val="28"/>
                <w:szCs w:val="28"/>
              </w:rPr>
              <w:t>23 029 037,51</w:t>
            </w:r>
          </w:p>
        </w:tc>
        <w:tc>
          <w:tcPr>
            <w:tcW w:w="992" w:type="dxa"/>
            <w:shd w:val="clear" w:color="auto" w:fill="FFFFFF"/>
            <w:vAlign w:val="center"/>
          </w:tcPr>
          <w:p w:rsidR="00B008B9" w:rsidRPr="00C04A34" w:rsidRDefault="00B008B9" w:rsidP="002E66D6">
            <w:pPr>
              <w:spacing w:after="0"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18,18</w:t>
            </w:r>
          </w:p>
        </w:tc>
        <w:tc>
          <w:tcPr>
            <w:tcW w:w="1984" w:type="dxa"/>
            <w:shd w:val="clear" w:color="auto" w:fill="FFFFFF"/>
            <w:vAlign w:val="center"/>
          </w:tcPr>
          <w:p w:rsidR="00B008B9" w:rsidRPr="00C04A34" w:rsidRDefault="00B008B9" w:rsidP="002E66D6">
            <w:pPr>
              <w:spacing w:after="0" w:line="360" w:lineRule="auto"/>
              <w:jc w:val="center"/>
              <w:rPr>
                <w:rFonts w:ascii="Times New Roman" w:hAnsi="Times New Roman" w:cs="Times New Roman"/>
                <w:sz w:val="28"/>
                <w:szCs w:val="28"/>
                <w:lang w:val="ru-RU" w:eastAsia="ru-RU"/>
              </w:rPr>
            </w:pPr>
          </w:p>
          <w:p w:rsidR="00B008B9" w:rsidRPr="003E1377" w:rsidRDefault="00B008B9" w:rsidP="002E66D6">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val="ru-RU" w:eastAsia="ru-RU"/>
              </w:rPr>
              <w:t>53 313 185,18</w:t>
            </w:r>
          </w:p>
          <w:p w:rsidR="00B008B9" w:rsidRPr="00C04A34" w:rsidRDefault="00B008B9" w:rsidP="002E66D6">
            <w:pPr>
              <w:spacing w:after="0" w:line="360" w:lineRule="auto"/>
              <w:ind w:left="498"/>
              <w:jc w:val="center"/>
              <w:rPr>
                <w:rFonts w:ascii="Times New Roman" w:hAnsi="Times New Roman" w:cs="Times New Roman"/>
                <w:sz w:val="28"/>
                <w:szCs w:val="28"/>
                <w:lang w:eastAsia="uk-UA"/>
              </w:rPr>
            </w:pPr>
          </w:p>
        </w:tc>
        <w:tc>
          <w:tcPr>
            <w:tcW w:w="1134" w:type="dxa"/>
            <w:shd w:val="clear" w:color="auto" w:fill="FFFFFF"/>
            <w:noWrap/>
            <w:vAlign w:val="center"/>
          </w:tcPr>
          <w:p w:rsidR="00B008B9" w:rsidRPr="001777E5" w:rsidRDefault="00B008B9" w:rsidP="002E66D6">
            <w:pPr>
              <w:spacing w:after="0"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27,71</w:t>
            </w:r>
          </w:p>
        </w:tc>
      </w:tr>
      <w:tr w:rsidR="00B008B9" w:rsidRPr="004212E5" w:rsidTr="004068CA">
        <w:trPr>
          <w:trHeight w:val="538"/>
        </w:trPr>
        <w:tc>
          <w:tcPr>
            <w:tcW w:w="3582" w:type="dxa"/>
            <w:shd w:val="clear" w:color="auto" w:fill="F2F2F2"/>
            <w:vAlign w:val="center"/>
          </w:tcPr>
          <w:p w:rsidR="00B008B9" w:rsidRPr="00B30FD5" w:rsidRDefault="00B008B9" w:rsidP="002E66D6">
            <w:pPr>
              <w:spacing w:after="0" w:line="360" w:lineRule="auto"/>
              <w:ind w:left="498"/>
              <w:rPr>
                <w:rFonts w:ascii="Times New Roman" w:hAnsi="Times New Roman" w:cs="Times New Roman"/>
                <w:sz w:val="28"/>
                <w:szCs w:val="28"/>
                <w:lang w:eastAsia="uk-UA"/>
              </w:rPr>
            </w:pPr>
            <w:r w:rsidRPr="00B30FD5">
              <w:rPr>
                <w:rFonts w:ascii="Times New Roman" w:hAnsi="Times New Roman" w:cs="Times New Roman"/>
                <w:sz w:val="28"/>
                <w:szCs w:val="28"/>
                <w:lang w:eastAsia="uk-UA"/>
              </w:rPr>
              <w:t>закупівлі пов’язані з особливим періодом</w:t>
            </w:r>
          </w:p>
        </w:tc>
        <w:tc>
          <w:tcPr>
            <w:tcW w:w="2127" w:type="dxa"/>
            <w:shd w:val="clear" w:color="auto" w:fill="F2F2F2"/>
            <w:vAlign w:val="center"/>
          </w:tcPr>
          <w:p w:rsidR="00B008B9" w:rsidRPr="00B30FD5" w:rsidRDefault="00B008B9" w:rsidP="002E66D6">
            <w:pPr>
              <w:spacing w:after="0" w:line="360" w:lineRule="auto"/>
              <w:ind w:left="318"/>
              <w:jc w:val="center"/>
              <w:rPr>
                <w:rFonts w:ascii="Times New Roman" w:hAnsi="Times New Roman" w:cs="Times New Roman"/>
                <w:sz w:val="28"/>
                <w:szCs w:val="28"/>
                <w:lang w:eastAsia="uk-UA"/>
              </w:rPr>
            </w:pPr>
            <w:r w:rsidRPr="00B30FD5">
              <w:rPr>
                <w:rFonts w:ascii="Times New Roman" w:hAnsi="Times New Roman" w:cs="Times New Roman"/>
                <w:sz w:val="28"/>
                <w:szCs w:val="28"/>
              </w:rPr>
              <w:t>2 030 505,63</w:t>
            </w:r>
          </w:p>
        </w:tc>
        <w:tc>
          <w:tcPr>
            <w:tcW w:w="992" w:type="dxa"/>
            <w:shd w:val="clear" w:color="auto" w:fill="F2F2F2"/>
            <w:vAlign w:val="center"/>
          </w:tcPr>
          <w:p w:rsidR="00B008B9" w:rsidRPr="00B30FD5" w:rsidRDefault="00B008B9" w:rsidP="002E66D6">
            <w:pPr>
              <w:spacing w:after="0"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1,6</w:t>
            </w:r>
          </w:p>
        </w:tc>
        <w:tc>
          <w:tcPr>
            <w:tcW w:w="1984" w:type="dxa"/>
            <w:shd w:val="clear" w:color="auto" w:fill="F2F2F2"/>
            <w:vAlign w:val="center"/>
          </w:tcPr>
          <w:p w:rsidR="00B008B9" w:rsidRPr="00C3761B" w:rsidRDefault="00B008B9" w:rsidP="002E66D6">
            <w:pPr>
              <w:spacing w:after="0" w:line="360" w:lineRule="auto"/>
              <w:jc w:val="center"/>
              <w:rPr>
                <w:rFonts w:ascii="Times New Roman" w:hAnsi="Times New Roman" w:cs="Times New Roman"/>
                <w:sz w:val="28"/>
                <w:szCs w:val="28"/>
                <w:lang w:val="ru-RU" w:eastAsia="uk-UA"/>
              </w:rPr>
            </w:pPr>
            <w:r>
              <w:rPr>
                <w:rFonts w:ascii="Times New Roman" w:hAnsi="Times New Roman" w:cs="Times New Roman"/>
                <w:sz w:val="28"/>
                <w:szCs w:val="28"/>
              </w:rPr>
              <w:t>11 685 684,02</w:t>
            </w:r>
          </w:p>
        </w:tc>
        <w:tc>
          <w:tcPr>
            <w:tcW w:w="1134" w:type="dxa"/>
            <w:shd w:val="clear" w:color="auto" w:fill="F2F2F2"/>
            <w:noWrap/>
            <w:vAlign w:val="center"/>
          </w:tcPr>
          <w:p w:rsidR="00B008B9" w:rsidRPr="00B30FD5" w:rsidRDefault="00B008B9" w:rsidP="002E66D6">
            <w:pPr>
              <w:spacing w:after="0" w:line="360" w:lineRule="auto"/>
              <w:jc w:val="center"/>
              <w:rPr>
                <w:rFonts w:ascii="Times New Roman" w:hAnsi="Times New Roman" w:cs="Times New Roman"/>
                <w:sz w:val="28"/>
                <w:szCs w:val="28"/>
                <w:lang w:val="ru-RU" w:eastAsia="uk-UA"/>
              </w:rPr>
            </w:pPr>
            <w:r>
              <w:rPr>
                <w:rFonts w:ascii="Times New Roman" w:hAnsi="Times New Roman" w:cs="Times New Roman"/>
                <w:sz w:val="28"/>
                <w:szCs w:val="28"/>
                <w:lang w:val="ru-RU" w:eastAsia="uk-UA"/>
              </w:rPr>
              <w:t>6,07</w:t>
            </w:r>
          </w:p>
        </w:tc>
      </w:tr>
      <w:tr w:rsidR="00B008B9" w:rsidRPr="004212E5" w:rsidTr="00FA2F06">
        <w:trPr>
          <w:trHeight w:val="538"/>
        </w:trPr>
        <w:tc>
          <w:tcPr>
            <w:tcW w:w="3582" w:type="dxa"/>
            <w:shd w:val="clear" w:color="auto" w:fill="FFFFFF"/>
            <w:vAlign w:val="center"/>
          </w:tcPr>
          <w:p w:rsidR="00B008B9" w:rsidRPr="004212E5" w:rsidRDefault="00B008B9" w:rsidP="002E66D6">
            <w:pPr>
              <w:spacing w:after="0" w:line="360" w:lineRule="auto"/>
              <w:ind w:left="498"/>
              <w:rPr>
                <w:rFonts w:ascii="Times New Roman" w:hAnsi="Times New Roman" w:cs="Times New Roman"/>
                <w:sz w:val="28"/>
                <w:szCs w:val="28"/>
                <w:lang w:eastAsia="uk-UA"/>
              </w:rPr>
            </w:pPr>
            <w:r w:rsidRPr="004212E5">
              <w:rPr>
                <w:rFonts w:ascii="Times New Roman" w:hAnsi="Times New Roman" w:cs="Times New Roman"/>
                <w:sz w:val="28"/>
                <w:szCs w:val="28"/>
                <w:lang w:eastAsia="uk-UA"/>
              </w:rPr>
              <w:t>закупівля поштових послуг</w:t>
            </w:r>
          </w:p>
        </w:tc>
        <w:tc>
          <w:tcPr>
            <w:tcW w:w="2127" w:type="dxa"/>
            <w:shd w:val="clear" w:color="auto" w:fill="FFFFFF"/>
            <w:vAlign w:val="center"/>
          </w:tcPr>
          <w:p w:rsidR="00B008B9" w:rsidRPr="009D09AD" w:rsidRDefault="00B008B9" w:rsidP="002E66D6">
            <w:pPr>
              <w:spacing w:after="0" w:line="360" w:lineRule="auto"/>
              <w:ind w:left="318"/>
              <w:jc w:val="center"/>
              <w:rPr>
                <w:rFonts w:ascii="Times New Roman" w:hAnsi="Times New Roman" w:cs="Times New Roman"/>
                <w:sz w:val="28"/>
                <w:szCs w:val="28"/>
                <w:lang w:eastAsia="uk-UA"/>
              </w:rPr>
            </w:pPr>
            <w:r w:rsidRPr="009D09AD">
              <w:rPr>
                <w:rFonts w:ascii="Times New Roman" w:hAnsi="Times New Roman" w:cs="Times New Roman"/>
                <w:sz w:val="28"/>
                <w:szCs w:val="28"/>
              </w:rPr>
              <w:t>1 140 056,78</w:t>
            </w:r>
          </w:p>
        </w:tc>
        <w:tc>
          <w:tcPr>
            <w:tcW w:w="992" w:type="dxa"/>
            <w:shd w:val="clear" w:color="auto" w:fill="FFFFFF"/>
            <w:vAlign w:val="center"/>
          </w:tcPr>
          <w:p w:rsidR="00B008B9" w:rsidRPr="009D09AD" w:rsidRDefault="00B008B9" w:rsidP="002E66D6">
            <w:pPr>
              <w:spacing w:after="0"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0,9</w:t>
            </w:r>
          </w:p>
        </w:tc>
        <w:tc>
          <w:tcPr>
            <w:tcW w:w="1984" w:type="dxa"/>
            <w:shd w:val="clear" w:color="auto" w:fill="FFFFFF"/>
            <w:vAlign w:val="center"/>
          </w:tcPr>
          <w:p w:rsidR="00B008B9" w:rsidRPr="009D09AD" w:rsidRDefault="00B008B9" w:rsidP="002E66D6">
            <w:pPr>
              <w:spacing w:after="0" w:line="360" w:lineRule="auto"/>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2 119 490,40</w:t>
            </w:r>
          </w:p>
        </w:tc>
        <w:tc>
          <w:tcPr>
            <w:tcW w:w="1134" w:type="dxa"/>
            <w:shd w:val="clear" w:color="auto" w:fill="FFFFFF"/>
            <w:noWrap/>
            <w:vAlign w:val="center"/>
          </w:tcPr>
          <w:p w:rsidR="00B008B9" w:rsidRPr="009D09AD" w:rsidRDefault="00B008B9" w:rsidP="002E66D6">
            <w:pPr>
              <w:spacing w:after="0"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1,10</w:t>
            </w:r>
          </w:p>
        </w:tc>
      </w:tr>
      <w:tr w:rsidR="00B008B9" w:rsidRPr="00B30FD5" w:rsidTr="004068CA">
        <w:trPr>
          <w:trHeight w:val="538"/>
        </w:trPr>
        <w:tc>
          <w:tcPr>
            <w:tcW w:w="3582" w:type="dxa"/>
            <w:tcBorders>
              <w:bottom w:val="single" w:sz="4" w:space="0" w:color="auto"/>
            </w:tcBorders>
            <w:shd w:val="clear" w:color="auto" w:fill="F2F2F2"/>
            <w:vAlign w:val="center"/>
          </w:tcPr>
          <w:p w:rsidR="00B008B9" w:rsidRPr="004212E5" w:rsidRDefault="00B008B9" w:rsidP="002E66D6">
            <w:pPr>
              <w:spacing w:after="0" w:line="360" w:lineRule="auto"/>
              <w:ind w:left="498"/>
              <w:rPr>
                <w:rFonts w:ascii="Times New Roman" w:hAnsi="Times New Roman" w:cs="Times New Roman"/>
                <w:sz w:val="28"/>
                <w:szCs w:val="28"/>
                <w:lang w:eastAsia="uk-UA"/>
              </w:rPr>
            </w:pPr>
            <w:r w:rsidRPr="004212E5">
              <w:rPr>
                <w:rFonts w:ascii="Times New Roman" w:hAnsi="Times New Roman" w:cs="Times New Roman"/>
                <w:sz w:val="28"/>
                <w:szCs w:val="28"/>
                <w:lang w:eastAsia="uk-UA"/>
              </w:rPr>
              <w:t>інші закупівлі</w:t>
            </w:r>
          </w:p>
        </w:tc>
        <w:tc>
          <w:tcPr>
            <w:tcW w:w="2127" w:type="dxa"/>
            <w:tcBorders>
              <w:bottom w:val="single" w:sz="4" w:space="0" w:color="auto"/>
            </w:tcBorders>
            <w:shd w:val="clear" w:color="auto" w:fill="F2F2F2"/>
            <w:vAlign w:val="center"/>
          </w:tcPr>
          <w:p w:rsidR="00B008B9" w:rsidRPr="009D09AD" w:rsidRDefault="00B008B9" w:rsidP="002E66D6">
            <w:pPr>
              <w:spacing w:after="0" w:line="360" w:lineRule="auto"/>
              <w:ind w:left="18"/>
              <w:jc w:val="center"/>
              <w:rPr>
                <w:rFonts w:ascii="Times New Roman" w:hAnsi="Times New Roman" w:cs="Times New Roman"/>
                <w:sz w:val="28"/>
                <w:szCs w:val="28"/>
                <w:lang w:eastAsia="uk-UA"/>
              </w:rPr>
            </w:pPr>
            <w:r w:rsidRPr="009D09AD">
              <w:rPr>
                <w:rFonts w:ascii="Times New Roman" w:hAnsi="Times New Roman" w:cs="Times New Roman"/>
                <w:sz w:val="28"/>
                <w:szCs w:val="28"/>
              </w:rPr>
              <w:t>11 613 658,27</w:t>
            </w:r>
          </w:p>
        </w:tc>
        <w:tc>
          <w:tcPr>
            <w:tcW w:w="992" w:type="dxa"/>
            <w:tcBorders>
              <w:bottom w:val="single" w:sz="4" w:space="0" w:color="auto"/>
            </w:tcBorders>
            <w:shd w:val="clear" w:color="auto" w:fill="F2F2F2"/>
            <w:vAlign w:val="center"/>
          </w:tcPr>
          <w:p w:rsidR="00B008B9" w:rsidRPr="009D09AD" w:rsidRDefault="00B008B9" w:rsidP="002E66D6">
            <w:pPr>
              <w:spacing w:after="0" w:line="360" w:lineRule="auto"/>
              <w:jc w:val="center"/>
              <w:rPr>
                <w:rFonts w:ascii="Times New Roman" w:hAnsi="Times New Roman" w:cs="Times New Roman"/>
                <w:sz w:val="28"/>
                <w:szCs w:val="28"/>
                <w:lang w:eastAsia="uk-UA"/>
              </w:rPr>
            </w:pPr>
            <w:r w:rsidRPr="009D09AD">
              <w:rPr>
                <w:rFonts w:ascii="Times New Roman" w:hAnsi="Times New Roman" w:cs="Times New Roman"/>
                <w:sz w:val="28"/>
                <w:szCs w:val="28"/>
                <w:lang w:eastAsia="uk-UA"/>
              </w:rPr>
              <w:t>9,16</w:t>
            </w:r>
          </w:p>
        </w:tc>
        <w:tc>
          <w:tcPr>
            <w:tcW w:w="1984" w:type="dxa"/>
            <w:tcBorders>
              <w:bottom w:val="single" w:sz="4" w:space="0" w:color="auto"/>
            </w:tcBorders>
            <w:shd w:val="clear" w:color="auto" w:fill="F2F2F2"/>
            <w:vAlign w:val="center"/>
          </w:tcPr>
          <w:p w:rsidR="00B008B9" w:rsidRPr="00B30FD5" w:rsidRDefault="00B008B9" w:rsidP="002E66D6">
            <w:pPr>
              <w:spacing w:after="0"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17 585 138,30</w:t>
            </w:r>
          </w:p>
        </w:tc>
        <w:tc>
          <w:tcPr>
            <w:tcW w:w="1134" w:type="dxa"/>
            <w:tcBorders>
              <w:bottom w:val="single" w:sz="4" w:space="0" w:color="auto"/>
            </w:tcBorders>
            <w:shd w:val="clear" w:color="auto" w:fill="F2F2F2"/>
            <w:noWrap/>
            <w:vAlign w:val="center"/>
          </w:tcPr>
          <w:p w:rsidR="00B008B9" w:rsidRPr="00B30FD5" w:rsidRDefault="00B008B9" w:rsidP="002E66D6">
            <w:pPr>
              <w:spacing w:after="0" w:line="360" w:lineRule="auto"/>
              <w:jc w:val="center"/>
              <w:rPr>
                <w:rFonts w:ascii="Times New Roman" w:hAnsi="Times New Roman" w:cs="Times New Roman"/>
                <w:sz w:val="28"/>
                <w:szCs w:val="28"/>
                <w:lang w:val="ru-RU" w:eastAsia="uk-UA"/>
              </w:rPr>
            </w:pPr>
            <w:r>
              <w:rPr>
                <w:rFonts w:ascii="Times New Roman" w:hAnsi="Times New Roman" w:cs="Times New Roman"/>
                <w:sz w:val="28"/>
                <w:szCs w:val="28"/>
                <w:lang w:val="ru-RU" w:eastAsia="uk-UA"/>
              </w:rPr>
              <w:t>9,14</w:t>
            </w:r>
          </w:p>
        </w:tc>
      </w:tr>
      <w:tr w:rsidR="00B008B9" w:rsidRPr="004212E5" w:rsidTr="004068CA">
        <w:trPr>
          <w:trHeight w:val="538"/>
        </w:trPr>
        <w:tc>
          <w:tcPr>
            <w:tcW w:w="3582" w:type="dxa"/>
            <w:shd w:val="clear" w:color="auto" w:fill="002060"/>
            <w:vAlign w:val="center"/>
          </w:tcPr>
          <w:p w:rsidR="00B008B9" w:rsidRPr="004212E5" w:rsidRDefault="00B008B9" w:rsidP="002E66D6">
            <w:pPr>
              <w:spacing w:after="0" w:line="360" w:lineRule="auto"/>
              <w:rPr>
                <w:rFonts w:ascii="Times New Roman" w:hAnsi="Times New Roman" w:cs="Times New Roman"/>
                <w:sz w:val="28"/>
                <w:szCs w:val="28"/>
                <w:lang w:eastAsia="uk-UA"/>
              </w:rPr>
            </w:pPr>
            <w:r w:rsidRPr="004212E5">
              <w:rPr>
                <w:rFonts w:ascii="Times New Roman" w:hAnsi="Times New Roman" w:cs="Times New Roman"/>
                <w:sz w:val="28"/>
                <w:szCs w:val="28"/>
                <w:lang w:eastAsia="uk-UA"/>
              </w:rPr>
              <w:t>Усього</w:t>
            </w:r>
          </w:p>
        </w:tc>
        <w:tc>
          <w:tcPr>
            <w:tcW w:w="2127" w:type="dxa"/>
            <w:tcBorders>
              <w:left w:val="nil"/>
            </w:tcBorders>
            <w:shd w:val="clear" w:color="auto" w:fill="002060"/>
            <w:vAlign w:val="center"/>
          </w:tcPr>
          <w:p w:rsidR="00B008B9" w:rsidRPr="009D09AD" w:rsidRDefault="00B008B9" w:rsidP="002E66D6">
            <w:pPr>
              <w:spacing w:after="0" w:line="360" w:lineRule="auto"/>
              <w:jc w:val="center"/>
              <w:rPr>
                <w:rFonts w:ascii="Times New Roman" w:hAnsi="Times New Roman" w:cs="Times New Roman"/>
                <w:sz w:val="28"/>
                <w:szCs w:val="28"/>
                <w:lang w:eastAsia="uk-UA"/>
              </w:rPr>
            </w:pPr>
            <w:r>
              <w:rPr>
                <w:rFonts w:ascii="Times New Roman" w:hAnsi="Times New Roman" w:cs="Times New Roman"/>
                <w:sz w:val="28"/>
                <w:szCs w:val="28"/>
              </w:rPr>
              <w:t>126 735 421,2</w:t>
            </w:r>
          </w:p>
        </w:tc>
        <w:tc>
          <w:tcPr>
            <w:tcW w:w="992" w:type="dxa"/>
            <w:shd w:val="clear" w:color="auto" w:fill="002060"/>
            <w:vAlign w:val="center"/>
          </w:tcPr>
          <w:p w:rsidR="00B008B9" w:rsidRPr="009D09AD" w:rsidRDefault="00B008B9" w:rsidP="002E66D6">
            <w:pPr>
              <w:spacing w:after="0" w:line="360" w:lineRule="auto"/>
              <w:jc w:val="center"/>
              <w:rPr>
                <w:rFonts w:ascii="Times New Roman" w:hAnsi="Times New Roman" w:cs="Times New Roman"/>
                <w:sz w:val="28"/>
                <w:szCs w:val="28"/>
                <w:lang w:eastAsia="uk-UA"/>
              </w:rPr>
            </w:pPr>
            <w:r w:rsidRPr="009D09AD">
              <w:rPr>
                <w:rFonts w:ascii="Times New Roman" w:hAnsi="Times New Roman" w:cs="Times New Roman"/>
                <w:sz w:val="28"/>
                <w:szCs w:val="28"/>
                <w:lang w:eastAsia="uk-UA"/>
              </w:rPr>
              <w:t>100,00</w:t>
            </w:r>
          </w:p>
        </w:tc>
        <w:tc>
          <w:tcPr>
            <w:tcW w:w="1984" w:type="dxa"/>
            <w:shd w:val="clear" w:color="auto" w:fill="002060"/>
            <w:vAlign w:val="center"/>
          </w:tcPr>
          <w:p w:rsidR="00B008B9" w:rsidRPr="009D09AD" w:rsidRDefault="00B008B9" w:rsidP="002E66D6">
            <w:pPr>
              <w:spacing w:before="60" w:after="0" w:line="360" w:lineRule="auto"/>
              <w:jc w:val="center"/>
              <w:rPr>
                <w:rFonts w:ascii="Times New Roman" w:hAnsi="Times New Roman" w:cs="Times New Roman"/>
                <w:sz w:val="28"/>
                <w:szCs w:val="28"/>
                <w:lang w:eastAsia="uk-UA"/>
              </w:rPr>
            </w:pPr>
            <w:r>
              <w:rPr>
                <w:rFonts w:ascii="Times New Roman" w:hAnsi="Times New Roman" w:cs="Times New Roman"/>
                <w:sz w:val="28"/>
                <w:szCs w:val="28"/>
                <w:lang w:eastAsia="uk-UA"/>
              </w:rPr>
              <w:t>192 412 922,50</w:t>
            </w:r>
          </w:p>
        </w:tc>
        <w:tc>
          <w:tcPr>
            <w:tcW w:w="1134" w:type="dxa"/>
            <w:shd w:val="clear" w:color="auto" w:fill="002060"/>
            <w:noWrap/>
            <w:vAlign w:val="center"/>
          </w:tcPr>
          <w:p w:rsidR="00B008B9" w:rsidRPr="009D09AD" w:rsidRDefault="00B008B9" w:rsidP="002E66D6">
            <w:pPr>
              <w:spacing w:after="0" w:line="360" w:lineRule="auto"/>
              <w:jc w:val="center"/>
              <w:rPr>
                <w:rFonts w:ascii="Times New Roman" w:hAnsi="Times New Roman" w:cs="Times New Roman"/>
                <w:sz w:val="28"/>
                <w:szCs w:val="28"/>
                <w:lang w:eastAsia="uk-UA"/>
              </w:rPr>
            </w:pPr>
            <w:r w:rsidRPr="009D09AD">
              <w:rPr>
                <w:rFonts w:ascii="Times New Roman" w:hAnsi="Times New Roman" w:cs="Times New Roman"/>
                <w:sz w:val="28"/>
                <w:szCs w:val="28"/>
                <w:lang w:eastAsia="uk-UA"/>
              </w:rPr>
              <w:t>100,00</w:t>
            </w:r>
          </w:p>
        </w:tc>
      </w:tr>
    </w:tbl>
    <w:p w:rsidR="00B008B9" w:rsidRPr="004212E5" w:rsidRDefault="00B008B9" w:rsidP="002E66D6">
      <w:pPr>
        <w:spacing w:after="0" w:line="360" w:lineRule="auto"/>
        <w:ind w:firstLine="709"/>
        <w:jc w:val="both"/>
        <w:rPr>
          <w:rFonts w:ascii="Times New Roman" w:eastAsia="Batang" w:hAnsi="Times New Roman"/>
          <w:sz w:val="28"/>
          <w:szCs w:val="28"/>
          <w:lang w:eastAsia="ko-KR"/>
        </w:rPr>
      </w:pPr>
    </w:p>
    <w:p w:rsidR="00B008B9" w:rsidRDefault="00B008B9" w:rsidP="002E66D6">
      <w:pPr>
        <w:spacing w:before="60" w:after="120" w:line="360" w:lineRule="auto"/>
        <w:ind w:firstLine="432"/>
        <w:jc w:val="both"/>
        <w:rPr>
          <w:i/>
        </w:rPr>
      </w:pPr>
      <w:r w:rsidRPr="004212E5">
        <w:rPr>
          <w:rFonts w:ascii="Times New Roman" w:hAnsi="Times New Roman" w:cs="Times New Roman"/>
          <w:sz w:val="28"/>
          <w:szCs w:val="28"/>
          <w:lang w:eastAsia="uk-UA"/>
        </w:rPr>
        <w:t>Водночас аналіз інформації щодо договорів, укладених у результаті проведення процедур закупівель, свідчить про те, що переважну більшість серед неконкурентних процедур закупівель (</w:t>
      </w:r>
      <w:r>
        <w:rPr>
          <w:rFonts w:ascii="Times New Roman" w:hAnsi="Times New Roman" w:cs="Times New Roman"/>
          <w:sz w:val="28"/>
          <w:szCs w:val="28"/>
          <w:lang w:val="ru-RU" w:eastAsia="uk-UA"/>
        </w:rPr>
        <w:t>83,</w:t>
      </w:r>
      <w:r w:rsidRPr="008E5876">
        <w:rPr>
          <w:rFonts w:ascii="Times New Roman" w:hAnsi="Times New Roman" w:cs="Times New Roman"/>
          <w:sz w:val="28"/>
          <w:szCs w:val="28"/>
          <w:lang w:val="ru-RU" w:eastAsia="uk-UA"/>
        </w:rPr>
        <w:t>07</w:t>
      </w:r>
      <w:r>
        <w:rPr>
          <w:rFonts w:ascii="Times New Roman" w:hAnsi="Times New Roman" w:cs="Times New Roman"/>
          <w:sz w:val="28"/>
          <w:szCs w:val="28"/>
          <w:lang w:eastAsia="uk-UA"/>
        </w:rPr>
        <w:t xml:space="preserve"> відсотка по кількості та 65,44</w:t>
      </w:r>
      <w:r w:rsidRPr="004212E5">
        <w:rPr>
          <w:rFonts w:ascii="Times New Roman" w:hAnsi="Times New Roman" w:cs="Times New Roman"/>
          <w:sz w:val="28"/>
          <w:szCs w:val="28"/>
          <w:lang w:eastAsia="uk-UA"/>
        </w:rPr>
        <w:t xml:space="preserve"> відсотка по вартості) складають закупівлі комунальних послуг (газу природного та послуг з транспортування природного газу магістральними та розподільними трубопроводами; електричної енергії та послуг з постачання електроенергії; послуг з постачання водяної пари і гарячої води (послуг з постачання теплової енергії); послуг з водопостачання та во</w:t>
      </w:r>
      <w:r>
        <w:rPr>
          <w:rFonts w:ascii="Times New Roman" w:hAnsi="Times New Roman" w:cs="Times New Roman"/>
          <w:sz w:val="28"/>
          <w:szCs w:val="28"/>
          <w:lang w:eastAsia="uk-UA"/>
        </w:rPr>
        <w:t>довідведення)</w:t>
      </w:r>
      <w:r w:rsidRPr="004212E5">
        <w:rPr>
          <w:rFonts w:ascii="Times New Roman" w:hAnsi="Times New Roman" w:cs="Times New Roman"/>
          <w:sz w:val="28"/>
          <w:szCs w:val="28"/>
          <w:lang w:eastAsia="uk-UA"/>
        </w:rPr>
        <w:t xml:space="preserve">, ринки </w:t>
      </w:r>
      <w:r>
        <w:rPr>
          <w:rFonts w:ascii="Times New Roman" w:hAnsi="Times New Roman" w:cs="Times New Roman"/>
          <w:sz w:val="28"/>
          <w:szCs w:val="28"/>
          <w:lang w:eastAsia="uk-UA"/>
        </w:rPr>
        <w:t>яких традиційно є монопольними, а тому відповідно до законодавства їх закупівля може здійснюватися виключно за неконкурентною процедурою закупівлі.</w:t>
      </w:r>
      <w:r w:rsidRPr="00DE284D">
        <w:rPr>
          <w:i/>
        </w:rPr>
        <w:t xml:space="preserve"> </w:t>
      </w:r>
    </w:p>
    <w:p w:rsidR="00B008B9" w:rsidRPr="00DE284D" w:rsidRDefault="00B008B9" w:rsidP="002E66D6">
      <w:pPr>
        <w:spacing w:before="60" w:after="120" w:line="360" w:lineRule="auto"/>
        <w:ind w:firstLine="432"/>
        <w:jc w:val="both"/>
        <w:rPr>
          <w:rStyle w:val="Emphasis"/>
          <w:rFonts w:ascii="Times New Roman" w:hAnsi="Times New Roman"/>
          <w:i w:val="0"/>
          <w:iCs/>
          <w:sz w:val="28"/>
          <w:szCs w:val="28"/>
        </w:rPr>
      </w:pPr>
      <w:r w:rsidRPr="00DE284D">
        <w:rPr>
          <w:rStyle w:val="Emphasis"/>
          <w:rFonts w:ascii="Times New Roman" w:hAnsi="Times New Roman"/>
          <w:i w:val="0"/>
          <w:iCs/>
          <w:sz w:val="28"/>
          <w:szCs w:val="28"/>
        </w:rPr>
        <w:t>Частка договорів, укладених у результаті проведення переговорної процедури закупівель, що припадає на закупівлі у зв’язку з особливим періодом, якщо замовником виступає Міністерство оборони України, Міністерство внутрішніх справ України, Служба безпеки України, Національна гвардія України, Державна прикордонна служба України, Служба зовнішньої розвідки України, Державна служба спеціального зв’язку та захисту інформації України, Державна служба України з надзвичайних ситуацій, становить 2,29% від загальної кількості укладених договорів та 6,07% від їх загальної вартості.</w:t>
      </w:r>
    </w:p>
    <w:p w:rsidR="00B008B9" w:rsidRDefault="00B008B9" w:rsidP="002E66D6">
      <w:pPr>
        <w:spacing w:line="360" w:lineRule="auto"/>
        <w:rPr>
          <w:rFonts w:ascii="Times New Roman" w:hAnsi="Times New Roman" w:cs="Times New Roman"/>
          <w:sz w:val="28"/>
          <w:szCs w:val="28"/>
          <w:lang w:eastAsia="uk-UA"/>
        </w:rPr>
      </w:pPr>
      <w:r w:rsidRPr="00DE284D">
        <w:rPr>
          <w:rStyle w:val="Emphasis"/>
          <w:rFonts w:ascii="Times New Roman" w:hAnsi="Times New Roman"/>
          <w:i w:val="0"/>
          <w:iCs/>
          <w:sz w:val="28"/>
          <w:szCs w:val="28"/>
        </w:rPr>
        <w:t xml:space="preserve">Таким чином, договори про закупівлю інших предметів закупівлі, що укладені в результаті проведення переговорної процедури, становить </w:t>
      </w:r>
      <w:r w:rsidRPr="00DE284D">
        <w:rPr>
          <w:rStyle w:val="Emphasis"/>
          <w:rFonts w:ascii="Times New Roman" w:hAnsi="Times New Roman"/>
          <w:i w:val="0"/>
          <w:iCs/>
          <w:sz w:val="28"/>
          <w:szCs w:val="28"/>
          <w:lang w:val="ru-RU"/>
        </w:rPr>
        <w:t>5,54</w:t>
      </w:r>
      <w:r w:rsidRPr="00DE284D">
        <w:rPr>
          <w:rStyle w:val="Emphasis"/>
          <w:rFonts w:ascii="Times New Roman" w:hAnsi="Times New Roman"/>
          <w:i w:val="0"/>
          <w:iCs/>
          <w:sz w:val="28"/>
          <w:szCs w:val="28"/>
        </w:rPr>
        <w:t>% від загальної кількості та 9,14% від загальної вартості договорів про закупівлю</w:t>
      </w:r>
      <w:r w:rsidRPr="00A777EE">
        <w:rPr>
          <w:rStyle w:val="Emphasis"/>
          <w:rFonts w:cs="Calibri"/>
          <w:i w:val="0"/>
          <w:iCs/>
        </w:rPr>
        <w:t>.</w:t>
      </w:r>
    </w:p>
    <w:p w:rsidR="00B008B9" w:rsidRPr="004212E5" w:rsidRDefault="00B008B9" w:rsidP="002E66D6">
      <w:pPr>
        <w:spacing w:after="0" w:line="360" w:lineRule="auto"/>
        <w:ind w:firstLine="720"/>
        <w:jc w:val="both"/>
        <w:rPr>
          <w:rFonts w:ascii="Times New Roman" w:hAnsi="Times New Roman" w:cs="Times New Roman"/>
          <w:sz w:val="28"/>
          <w:szCs w:val="28"/>
          <w:lang w:eastAsia="uk-UA"/>
        </w:rPr>
      </w:pPr>
      <w:r w:rsidRPr="00695F34">
        <w:rPr>
          <w:rFonts w:ascii="Times New Roman" w:hAnsi="Times New Roman" w:cs="Times New Roman"/>
          <w:sz w:val="28"/>
          <w:szCs w:val="28"/>
          <w:lang w:eastAsia="uk-UA"/>
        </w:rPr>
        <w:t>За даними Держстату у звітному періоді найбільш активними за кількістю проведення процедур державних закупівель були замовники, головними розпорядниками яких є Дніпропетровська ОДА (</w:t>
      </w:r>
      <w:r w:rsidRPr="00695F34">
        <w:rPr>
          <w:rFonts w:ascii="Times New Roman" w:hAnsi="Times New Roman" w:cs="Times New Roman"/>
          <w:sz w:val="28"/>
          <w:szCs w:val="28"/>
        </w:rPr>
        <w:t>6392</w:t>
      </w:r>
      <w:r w:rsidRPr="00695F34">
        <w:rPr>
          <w:rFonts w:ascii="Times New Roman" w:hAnsi="Times New Roman" w:cs="Times New Roman"/>
          <w:sz w:val="28"/>
          <w:szCs w:val="28"/>
          <w:lang w:eastAsia="uk-UA"/>
        </w:rPr>
        <w:t xml:space="preserve"> процедури), Одеська ОДА (4397 процедур), Харківська ОДА (3630 процедур), Миколаївська ОДА (3324  процедур), Херсонська ОДА (3183 процедури), Запорізька ОДА (2905 процедур), Львівська ОДА (2679 процедур).</w:t>
      </w:r>
    </w:p>
    <w:p w:rsidR="00B008B9" w:rsidRPr="004212E5" w:rsidRDefault="00B008B9" w:rsidP="002E66D6">
      <w:pPr>
        <w:spacing w:after="0" w:line="360" w:lineRule="auto"/>
        <w:ind w:firstLine="720"/>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 xml:space="preserve">Загалом у звітному періоді у процедурах державних закупівель взяли участь </w:t>
      </w:r>
      <w:r w:rsidRPr="00E758F4">
        <w:rPr>
          <w:rFonts w:ascii="Times New Roman" w:hAnsi="Times New Roman" w:cs="Times New Roman"/>
          <w:sz w:val="28"/>
          <w:szCs w:val="28"/>
          <w:lang w:eastAsia="uk-UA"/>
        </w:rPr>
        <w:t>129757 учасників, що на 28,5% більше ніж в аналогічному періоді 2014 року (</w:t>
      </w:r>
      <w:r w:rsidRPr="00E758F4">
        <w:rPr>
          <w:rFonts w:ascii="Times New Roman" w:hAnsi="Times New Roman" w:cs="Times New Roman"/>
          <w:sz w:val="28"/>
          <w:szCs w:val="28"/>
        </w:rPr>
        <w:t>100 971</w:t>
      </w:r>
      <w:r w:rsidRPr="00E758F4">
        <w:rPr>
          <w:rFonts w:ascii="Times New Roman" w:hAnsi="Times New Roman" w:cs="Times New Roman"/>
          <w:sz w:val="28"/>
          <w:szCs w:val="28"/>
          <w:lang w:eastAsia="uk-UA"/>
        </w:rPr>
        <w:t>).</w:t>
      </w:r>
    </w:p>
    <w:p w:rsidR="00B008B9" w:rsidRPr="00080CFD" w:rsidRDefault="00B008B9" w:rsidP="002E66D6">
      <w:pPr>
        <w:spacing w:after="0" w:line="360" w:lineRule="auto"/>
        <w:ind w:firstLine="720"/>
        <w:jc w:val="both"/>
        <w:rPr>
          <w:rFonts w:ascii="Times New Roman" w:hAnsi="Times New Roman" w:cs="Times New Roman"/>
          <w:sz w:val="28"/>
          <w:szCs w:val="28"/>
          <w:lang w:eastAsia="uk-UA"/>
        </w:rPr>
      </w:pPr>
      <w:r w:rsidRPr="00080CFD">
        <w:rPr>
          <w:rFonts w:ascii="Times New Roman" w:hAnsi="Times New Roman" w:cs="Times New Roman"/>
          <w:sz w:val="28"/>
          <w:szCs w:val="28"/>
          <w:lang w:eastAsia="uk-UA"/>
        </w:rPr>
        <w:t xml:space="preserve">Протягом січня – грудня 2015 року учасниками процедур закупівель подано 185786 пропозицій з урахуванням лотів, у тому числі 128364 пропозицій для участі в процедурі відкритих торгів. </w:t>
      </w:r>
    </w:p>
    <w:p w:rsidR="00B008B9" w:rsidRPr="00080CFD" w:rsidRDefault="00B008B9" w:rsidP="002E66D6">
      <w:pPr>
        <w:spacing w:after="0" w:line="360" w:lineRule="auto"/>
        <w:ind w:firstLine="720"/>
        <w:jc w:val="both"/>
        <w:rPr>
          <w:rFonts w:ascii="Times New Roman" w:hAnsi="Times New Roman" w:cs="Times New Roman"/>
          <w:sz w:val="28"/>
          <w:szCs w:val="28"/>
          <w:lang w:eastAsia="uk-UA"/>
        </w:rPr>
      </w:pPr>
      <w:r w:rsidRPr="00080CFD">
        <w:rPr>
          <w:rFonts w:ascii="Times New Roman" w:hAnsi="Times New Roman" w:cs="Times New Roman"/>
          <w:sz w:val="28"/>
          <w:szCs w:val="28"/>
          <w:lang w:eastAsia="uk-UA"/>
        </w:rPr>
        <w:t>З них 15,7 відсотка було відхилено замовниками як такі, що не відповідають вимогам документації конкурсних торгів (кваліфікаційній документації, запиту цінових пропозицій) та з підстав, що зазначені у статті 17 Закону.</w:t>
      </w:r>
    </w:p>
    <w:p w:rsidR="00B008B9" w:rsidRPr="00080CFD" w:rsidRDefault="00B008B9" w:rsidP="002E66D6">
      <w:pPr>
        <w:spacing w:after="0" w:line="360" w:lineRule="auto"/>
        <w:ind w:firstLine="720"/>
        <w:jc w:val="both"/>
        <w:rPr>
          <w:rFonts w:ascii="Times New Roman" w:hAnsi="Times New Roman" w:cs="Times New Roman"/>
          <w:sz w:val="28"/>
          <w:szCs w:val="28"/>
          <w:lang w:eastAsia="uk-UA"/>
        </w:rPr>
      </w:pPr>
      <w:r w:rsidRPr="00080CFD">
        <w:rPr>
          <w:rFonts w:ascii="Times New Roman" w:hAnsi="Times New Roman" w:cs="Times New Roman"/>
          <w:sz w:val="28"/>
          <w:szCs w:val="28"/>
          <w:lang w:eastAsia="uk-UA"/>
        </w:rPr>
        <w:t>Переможцями у процедурах закупівель, проведених протягом звітного періоду, стали 65712</w:t>
      </w:r>
      <w:r>
        <w:rPr>
          <w:rFonts w:ascii="Times New Roman" w:hAnsi="Times New Roman" w:cs="Times New Roman"/>
          <w:sz w:val="28"/>
          <w:szCs w:val="28"/>
          <w:lang w:eastAsia="uk-UA"/>
        </w:rPr>
        <w:t xml:space="preserve"> суб’єктів</w:t>
      </w:r>
      <w:r w:rsidRPr="00080CFD">
        <w:rPr>
          <w:rFonts w:ascii="Times New Roman" w:hAnsi="Times New Roman" w:cs="Times New Roman"/>
          <w:sz w:val="28"/>
          <w:szCs w:val="28"/>
          <w:lang w:eastAsia="uk-UA"/>
        </w:rPr>
        <w:t xml:space="preserve"> господарювання (проти 54 564переможців у аналогічному періоді 2014 року), серед яких 40,7 відсотка – це учасники-переможці відкритих торгів. </w:t>
      </w:r>
    </w:p>
    <w:p w:rsidR="00B008B9" w:rsidRPr="004212E5" w:rsidRDefault="00B008B9" w:rsidP="002E66D6">
      <w:pPr>
        <w:spacing w:after="0" w:line="360" w:lineRule="auto"/>
        <w:ind w:firstLine="720"/>
        <w:jc w:val="both"/>
        <w:rPr>
          <w:rFonts w:ascii="Times New Roman" w:hAnsi="Times New Roman" w:cs="Times New Roman"/>
          <w:sz w:val="28"/>
          <w:szCs w:val="28"/>
          <w:lang w:eastAsia="uk-UA"/>
        </w:rPr>
      </w:pPr>
      <w:r w:rsidRPr="00080CFD">
        <w:rPr>
          <w:rFonts w:ascii="Times New Roman" w:hAnsi="Times New Roman" w:cs="Times New Roman"/>
          <w:sz w:val="28"/>
          <w:szCs w:val="28"/>
          <w:lang w:eastAsia="uk-UA"/>
        </w:rPr>
        <w:t>Серед укладених замовниками в результаті проведення процедур закупівель договорів 99,6 відсотка припадає на договори з вітчизняними суб’єктами господарювання, а 0,4 відсотка – на</w:t>
      </w:r>
      <w:r w:rsidRPr="004212E5">
        <w:rPr>
          <w:rFonts w:ascii="Times New Roman" w:hAnsi="Times New Roman" w:cs="Times New Roman"/>
          <w:sz w:val="28"/>
          <w:szCs w:val="28"/>
          <w:lang w:eastAsia="uk-UA"/>
        </w:rPr>
        <w:t xml:space="preserve"> договори з іноземними постачальниками. </w:t>
      </w:r>
    </w:p>
    <w:p w:rsidR="00B008B9" w:rsidRPr="004212E5" w:rsidRDefault="00B008B9" w:rsidP="002E66D6">
      <w:pPr>
        <w:spacing w:after="0" w:line="360" w:lineRule="auto"/>
        <w:ind w:firstLine="720"/>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 xml:space="preserve">Отже, переважна більшість договорів про закупівлю укладається з вітчизняними учасниками. </w:t>
      </w:r>
    </w:p>
    <w:p w:rsidR="00B008B9" w:rsidRPr="004212E5" w:rsidRDefault="00B008B9" w:rsidP="002E66D6">
      <w:pPr>
        <w:spacing w:after="0" w:line="360" w:lineRule="auto"/>
        <w:ind w:firstLine="720"/>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 xml:space="preserve">Співвідношення кількості учасників, які подали пропозиції для участі у конкурентних процедурах закупівлі до кількості учасників-переможців у </w:t>
      </w:r>
      <w:r w:rsidRPr="004212E5">
        <w:rPr>
          <w:rFonts w:ascii="Times New Roman" w:hAnsi="Times New Roman" w:cs="Times New Roman"/>
          <w:sz w:val="28"/>
          <w:szCs w:val="28"/>
          <w:lang w:eastAsia="uk-UA"/>
        </w:rPr>
        <w:br/>
        <w:t xml:space="preserve">січні – грудні 2015 року </w:t>
      </w:r>
      <w:r w:rsidRPr="0098782F">
        <w:rPr>
          <w:rFonts w:ascii="Times New Roman" w:hAnsi="Times New Roman" w:cs="Times New Roman"/>
          <w:sz w:val="28"/>
          <w:szCs w:val="28"/>
          <w:lang w:eastAsia="uk-UA"/>
        </w:rPr>
        <w:t>становило 2,9.</w:t>
      </w:r>
      <w:r w:rsidRPr="004212E5">
        <w:rPr>
          <w:rFonts w:ascii="Times New Roman" w:hAnsi="Times New Roman" w:cs="Times New Roman"/>
          <w:sz w:val="28"/>
          <w:szCs w:val="28"/>
          <w:lang w:eastAsia="uk-UA"/>
        </w:rPr>
        <w:t xml:space="preserve"> Зазначений показник у аналогічному періоді 2014 року становив </w:t>
      </w:r>
      <w:r w:rsidRPr="0098782F">
        <w:rPr>
          <w:rFonts w:ascii="Times New Roman" w:hAnsi="Times New Roman" w:cs="Times New Roman"/>
          <w:sz w:val="28"/>
          <w:szCs w:val="28"/>
          <w:lang w:eastAsia="uk-UA"/>
        </w:rPr>
        <w:t xml:space="preserve">близько </w:t>
      </w:r>
      <w:r w:rsidRPr="0098782F">
        <w:rPr>
          <w:rFonts w:ascii="Times New Roman" w:hAnsi="Times New Roman" w:cs="Times New Roman"/>
          <w:sz w:val="28"/>
          <w:szCs w:val="28"/>
        </w:rPr>
        <w:t>2,9</w:t>
      </w:r>
      <w:r w:rsidRPr="0098782F">
        <w:rPr>
          <w:rFonts w:ascii="Times New Roman" w:hAnsi="Times New Roman" w:cs="Times New Roman"/>
          <w:sz w:val="28"/>
          <w:szCs w:val="28"/>
          <w:lang w:eastAsia="uk-UA"/>
        </w:rPr>
        <w:t>.</w:t>
      </w:r>
    </w:p>
    <w:p w:rsidR="00B008B9" w:rsidRPr="004212E5" w:rsidRDefault="00B008B9" w:rsidP="002E66D6">
      <w:pPr>
        <w:spacing w:after="0" w:line="360" w:lineRule="auto"/>
        <w:ind w:firstLine="720"/>
        <w:jc w:val="both"/>
        <w:rPr>
          <w:rFonts w:ascii="Times New Roman" w:hAnsi="Times New Roman" w:cs="Times New Roman"/>
          <w:sz w:val="28"/>
          <w:szCs w:val="28"/>
          <w:lang w:eastAsia="uk-UA"/>
        </w:rPr>
      </w:pPr>
      <w:r w:rsidRPr="00FF1DD7">
        <w:rPr>
          <w:rFonts w:ascii="Times New Roman" w:hAnsi="Times New Roman" w:cs="Times New Roman"/>
          <w:sz w:val="28"/>
          <w:szCs w:val="28"/>
          <w:lang w:eastAsia="uk-UA"/>
        </w:rPr>
        <w:t>Протягом 2015 року замовниками складено річних планів закупівель на загальну суму 223 563 996,3 тис. гривень, що на 24 відсотка більше, ніж за аналогічний період 2014 року (179 036 926,1  тис. гривень). При цьому державними, казенними, комунальними підприємствами та господарськими товариствами, в яких державна або комунальна частка акцій перевищує 50 відсотків, було заплановано здійснити закупівлі на суму 41925277,2</w:t>
      </w:r>
      <w:r>
        <w:rPr>
          <w:rFonts w:ascii="Times New Roman" w:hAnsi="Times New Roman" w:cs="Times New Roman"/>
          <w:sz w:val="28"/>
          <w:szCs w:val="28"/>
          <w:lang w:eastAsia="uk-UA"/>
        </w:rPr>
        <w:t xml:space="preserve"> тис. гривень</w:t>
      </w:r>
      <w:r w:rsidRPr="00FF1DD7">
        <w:rPr>
          <w:rFonts w:ascii="Times New Roman" w:hAnsi="Times New Roman" w:cs="Times New Roman"/>
          <w:sz w:val="28"/>
          <w:szCs w:val="28"/>
          <w:lang w:eastAsia="uk-UA"/>
        </w:rPr>
        <w:t xml:space="preserve"> та 27039035,8 тис. гривень відповідно. У січні - грудні 2014 року заплановані обсяги закупівель цієї категорії замовників становили </w:t>
      </w:r>
      <w:r w:rsidRPr="00733B38">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FF1DD7">
        <w:rPr>
          <w:rFonts w:ascii="Times New Roman" w:hAnsi="Times New Roman" w:cs="Times New Roman"/>
          <w:sz w:val="28"/>
          <w:szCs w:val="28"/>
          <w:lang w:eastAsia="uk-UA"/>
        </w:rPr>
        <w:t>73 153 019,5</w:t>
      </w:r>
      <w:r>
        <w:rPr>
          <w:rFonts w:ascii="Times New Roman" w:hAnsi="Times New Roman" w:cs="Times New Roman"/>
          <w:sz w:val="28"/>
          <w:szCs w:val="28"/>
          <w:lang w:eastAsia="uk-UA"/>
        </w:rPr>
        <w:t xml:space="preserve"> тис. гривень</w:t>
      </w:r>
      <w:r w:rsidRPr="00FF1DD7">
        <w:rPr>
          <w:rFonts w:ascii="Times New Roman" w:hAnsi="Times New Roman" w:cs="Times New Roman"/>
          <w:sz w:val="28"/>
          <w:szCs w:val="28"/>
          <w:lang w:eastAsia="uk-UA"/>
        </w:rPr>
        <w:t xml:space="preserve"> та 41 214 945,1 тис. гривень</w:t>
      </w:r>
      <w:r w:rsidRPr="00733B38">
        <w:rPr>
          <w:rFonts w:ascii="Times New Roman" w:hAnsi="Times New Roman" w:cs="Times New Roman"/>
          <w:sz w:val="28"/>
          <w:szCs w:val="28"/>
          <w:lang w:eastAsia="uk-UA"/>
        </w:rPr>
        <w:t xml:space="preserve"> </w:t>
      </w:r>
      <w:r w:rsidRPr="00FF1DD7">
        <w:rPr>
          <w:rFonts w:ascii="Times New Roman" w:hAnsi="Times New Roman" w:cs="Times New Roman"/>
          <w:sz w:val="28"/>
          <w:szCs w:val="28"/>
          <w:lang w:eastAsia="uk-UA"/>
        </w:rPr>
        <w:t>відповідно.</w:t>
      </w:r>
    </w:p>
    <w:p w:rsidR="00B008B9" w:rsidRPr="00EF61B3" w:rsidRDefault="00B008B9" w:rsidP="002E66D6">
      <w:pPr>
        <w:spacing w:after="0" w:line="360" w:lineRule="auto"/>
        <w:ind w:firstLine="720"/>
        <w:jc w:val="both"/>
        <w:rPr>
          <w:rFonts w:ascii="Times New Roman" w:hAnsi="Times New Roman" w:cs="Times New Roman"/>
          <w:sz w:val="28"/>
          <w:szCs w:val="28"/>
          <w:lang w:eastAsia="uk-UA"/>
        </w:rPr>
      </w:pPr>
      <w:r w:rsidRPr="00A57292">
        <w:rPr>
          <w:rFonts w:ascii="Times New Roman" w:hAnsi="Times New Roman" w:cs="Times New Roman"/>
          <w:sz w:val="28"/>
          <w:szCs w:val="28"/>
          <w:lang w:eastAsia="uk-UA"/>
        </w:rPr>
        <w:t>За даними форми 1-торги протягом січня – грудня</w:t>
      </w:r>
      <w:r w:rsidRPr="004212E5">
        <w:rPr>
          <w:rFonts w:ascii="Times New Roman" w:hAnsi="Times New Roman" w:cs="Times New Roman"/>
          <w:sz w:val="28"/>
          <w:szCs w:val="28"/>
          <w:lang w:eastAsia="uk-UA"/>
        </w:rPr>
        <w:t xml:space="preserve"> 2015 року </w:t>
      </w:r>
      <w:r w:rsidRPr="00F85598">
        <w:rPr>
          <w:rFonts w:ascii="Times New Roman" w:hAnsi="Times New Roman" w:cs="Times New Roman"/>
          <w:sz w:val="28"/>
          <w:szCs w:val="28"/>
          <w:lang w:eastAsia="ru-RU"/>
        </w:rPr>
        <w:t>Адміністрацією</w:t>
      </w:r>
      <w:r w:rsidRPr="004520D5">
        <w:rPr>
          <w:rFonts w:ascii="Times New Roman" w:hAnsi="Times New Roman" w:cs="Times New Roman"/>
          <w:sz w:val="28"/>
          <w:szCs w:val="28"/>
          <w:lang w:val="ru-RU" w:eastAsia="ru-RU"/>
        </w:rPr>
        <w:t xml:space="preserve"> </w:t>
      </w:r>
      <w:r w:rsidRPr="00F85598">
        <w:rPr>
          <w:rFonts w:ascii="Times New Roman" w:hAnsi="Times New Roman" w:cs="Times New Roman"/>
          <w:sz w:val="28"/>
          <w:szCs w:val="28"/>
          <w:lang w:eastAsia="ru-RU"/>
        </w:rPr>
        <w:t>Державної</w:t>
      </w:r>
      <w:r w:rsidRPr="004520D5">
        <w:rPr>
          <w:rFonts w:ascii="Times New Roman" w:hAnsi="Times New Roman" w:cs="Times New Roman"/>
          <w:sz w:val="28"/>
          <w:szCs w:val="28"/>
          <w:lang w:val="ru-RU" w:eastAsia="ru-RU"/>
        </w:rPr>
        <w:t xml:space="preserve"> </w:t>
      </w:r>
      <w:r w:rsidRPr="00F85598">
        <w:rPr>
          <w:rFonts w:ascii="Times New Roman" w:hAnsi="Times New Roman" w:cs="Times New Roman"/>
          <w:sz w:val="28"/>
          <w:szCs w:val="28"/>
          <w:lang w:eastAsia="ru-RU"/>
        </w:rPr>
        <w:t>прикордонно</w:t>
      </w:r>
      <w:r>
        <w:rPr>
          <w:rFonts w:ascii="Times New Roman" w:hAnsi="Times New Roman" w:cs="Times New Roman"/>
          <w:sz w:val="28"/>
          <w:szCs w:val="28"/>
          <w:lang w:eastAsia="ru-RU"/>
        </w:rPr>
        <w:t xml:space="preserve">ї </w:t>
      </w:r>
      <w:r w:rsidRPr="00F85598">
        <w:rPr>
          <w:rFonts w:ascii="Times New Roman" w:hAnsi="Times New Roman" w:cs="Times New Roman"/>
          <w:sz w:val="28"/>
          <w:szCs w:val="28"/>
          <w:lang w:eastAsia="ru-RU"/>
        </w:rPr>
        <w:t>служби</w:t>
      </w:r>
      <w:r w:rsidRPr="004520D5">
        <w:rPr>
          <w:rFonts w:ascii="Times New Roman" w:hAnsi="Times New Roman" w:cs="Times New Roman"/>
          <w:sz w:val="28"/>
          <w:szCs w:val="28"/>
          <w:lang w:val="ru-RU" w:eastAsia="ru-RU"/>
        </w:rPr>
        <w:t xml:space="preserve"> </w:t>
      </w:r>
      <w:r w:rsidRPr="00F85598">
        <w:rPr>
          <w:rFonts w:ascii="Times New Roman" w:hAnsi="Times New Roman" w:cs="Times New Roman"/>
          <w:sz w:val="28"/>
          <w:szCs w:val="28"/>
          <w:lang w:eastAsia="ru-RU"/>
        </w:rPr>
        <w:t>України</w:t>
      </w:r>
      <w:r w:rsidRPr="004212E5">
        <w:rPr>
          <w:rFonts w:ascii="Times New Roman" w:hAnsi="Times New Roman" w:cs="Times New Roman"/>
          <w:sz w:val="28"/>
          <w:szCs w:val="28"/>
          <w:lang w:eastAsia="uk-UA"/>
        </w:rPr>
        <w:t xml:space="preserve"> укладено договорів на </w:t>
      </w:r>
      <w:r w:rsidRPr="00EF61B3">
        <w:rPr>
          <w:rFonts w:ascii="Times New Roman" w:hAnsi="Times New Roman" w:cs="Times New Roman"/>
          <w:sz w:val="28"/>
          <w:szCs w:val="28"/>
          <w:lang w:eastAsia="uk-UA"/>
        </w:rPr>
        <w:t xml:space="preserve">суму </w:t>
      </w:r>
      <w:r w:rsidRPr="00EF61B3">
        <w:rPr>
          <w:rFonts w:ascii="Times New Roman" w:hAnsi="Times New Roman" w:cs="Times New Roman"/>
          <w:sz w:val="28"/>
          <w:szCs w:val="28"/>
        </w:rPr>
        <w:t>6</w:t>
      </w:r>
      <w:r>
        <w:rPr>
          <w:rFonts w:ascii="Times New Roman" w:hAnsi="Times New Roman" w:cs="Times New Roman"/>
          <w:sz w:val="28"/>
          <w:szCs w:val="28"/>
        </w:rPr>
        <w:t>3 343</w:t>
      </w:r>
      <w:r w:rsidRPr="00EF61B3">
        <w:rPr>
          <w:rFonts w:ascii="Times New Roman" w:hAnsi="Times New Roman" w:cs="Times New Roman"/>
          <w:sz w:val="28"/>
          <w:szCs w:val="28"/>
        </w:rPr>
        <w:t>,35</w:t>
      </w:r>
      <w:r w:rsidRPr="00295F57">
        <w:rPr>
          <w:rFonts w:ascii="Times New Roman" w:hAnsi="Times New Roman" w:cs="Times New Roman"/>
          <w:sz w:val="28"/>
          <w:szCs w:val="28"/>
          <w:lang w:val="ru-RU"/>
        </w:rPr>
        <w:t xml:space="preserve"> </w:t>
      </w:r>
      <w:r w:rsidRPr="00EF61B3">
        <w:rPr>
          <w:rFonts w:ascii="Times New Roman" w:hAnsi="Times New Roman" w:cs="Times New Roman"/>
          <w:sz w:val="28"/>
          <w:szCs w:val="28"/>
        </w:rPr>
        <w:t>тис</w:t>
      </w:r>
      <w:r>
        <w:rPr>
          <w:rFonts w:ascii="Times New Roman" w:hAnsi="Times New Roman" w:cs="Times New Roman"/>
          <w:sz w:val="28"/>
          <w:szCs w:val="28"/>
        </w:rPr>
        <w:t xml:space="preserve"> грн. або  0,48</w:t>
      </w:r>
      <w:r>
        <w:rPr>
          <w:rFonts w:ascii="Times New Roman" w:hAnsi="Times New Roman" w:cs="Times New Roman"/>
          <w:sz w:val="28"/>
          <w:szCs w:val="28"/>
          <w:lang w:val="ru-RU"/>
        </w:rPr>
        <w:t xml:space="preserve"> </w:t>
      </w:r>
      <w:r>
        <w:rPr>
          <w:rFonts w:ascii="Times New Roman" w:hAnsi="Times New Roman" w:cs="Times New Roman"/>
          <w:sz w:val="28"/>
          <w:szCs w:val="28"/>
        </w:rPr>
        <w:t>відсотка</w:t>
      </w:r>
      <w:r w:rsidRPr="00EF61B3">
        <w:rPr>
          <w:rFonts w:ascii="Times New Roman" w:hAnsi="Times New Roman" w:cs="Times New Roman"/>
          <w:sz w:val="28"/>
          <w:szCs w:val="28"/>
        </w:rPr>
        <w:t>,</w:t>
      </w:r>
      <w:r>
        <w:rPr>
          <w:rFonts w:ascii="Times New Roman" w:hAnsi="Times New Roman" w:cs="Times New Roman"/>
          <w:sz w:val="28"/>
          <w:szCs w:val="28"/>
        </w:rPr>
        <w:t xml:space="preserve"> </w:t>
      </w:r>
      <w:r w:rsidRPr="00EF61B3">
        <w:rPr>
          <w:rFonts w:ascii="Times New Roman" w:hAnsi="Times New Roman" w:cs="Times New Roman"/>
          <w:sz w:val="28"/>
          <w:szCs w:val="28"/>
          <w:lang w:eastAsia="ru-RU"/>
        </w:rPr>
        <w:t xml:space="preserve">Департаментом господарського забезпечення Служби безпеки України укладено договорів на суму </w:t>
      </w:r>
      <w:r w:rsidRPr="00EF61B3">
        <w:rPr>
          <w:rFonts w:ascii="Times New Roman" w:hAnsi="Times New Roman" w:cs="Times New Roman"/>
          <w:sz w:val="28"/>
          <w:szCs w:val="28"/>
        </w:rPr>
        <w:t>187 133,205</w:t>
      </w:r>
      <w:r>
        <w:rPr>
          <w:rFonts w:ascii="Times New Roman" w:hAnsi="Times New Roman" w:cs="Times New Roman"/>
          <w:sz w:val="28"/>
          <w:szCs w:val="28"/>
        </w:rPr>
        <w:t xml:space="preserve"> </w:t>
      </w:r>
      <w:r w:rsidRPr="00EF61B3">
        <w:rPr>
          <w:rFonts w:ascii="Times New Roman" w:hAnsi="Times New Roman" w:cs="Times New Roman"/>
          <w:sz w:val="28"/>
          <w:szCs w:val="28"/>
          <w:lang w:eastAsia="ru-RU"/>
        </w:rPr>
        <w:t xml:space="preserve">тис. </w:t>
      </w:r>
      <w:r>
        <w:rPr>
          <w:rFonts w:ascii="Times New Roman" w:hAnsi="Times New Roman" w:cs="Times New Roman"/>
          <w:sz w:val="28"/>
          <w:szCs w:val="28"/>
          <w:lang w:eastAsia="ru-RU"/>
        </w:rPr>
        <w:t>грн, або1,43 відсотка</w:t>
      </w:r>
      <w:r w:rsidRPr="00EF61B3">
        <w:rPr>
          <w:rFonts w:ascii="Times New Roman" w:hAnsi="Times New Roman" w:cs="Times New Roman"/>
          <w:sz w:val="28"/>
          <w:szCs w:val="28"/>
          <w:lang w:eastAsia="ru-RU"/>
        </w:rPr>
        <w:t>, Департаментом забезпечення Державної служби спеціального зв'язку та захисту інформації України</w:t>
      </w:r>
      <w:r w:rsidRPr="00EF61B3">
        <w:rPr>
          <w:rFonts w:ascii="Times New Roman" w:hAnsi="Times New Roman" w:cs="Times New Roman"/>
          <w:sz w:val="28"/>
          <w:szCs w:val="28"/>
          <w:lang w:eastAsia="uk-UA"/>
        </w:rPr>
        <w:t xml:space="preserve"> укладено договорів на суму </w:t>
      </w:r>
      <w:r w:rsidRPr="00EF61B3">
        <w:rPr>
          <w:rFonts w:ascii="Times New Roman" w:hAnsi="Times New Roman" w:cs="Times New Roman"/>
          <w:sz w:val="28"/>
          <w:szCs w:val="28"/>
        </w:rPr>
        <w:t>39 582, 98</w:t>
      </w:r>
      <w:r>
        <w:rPr>
          <w:rFonts w:ascii="Times New Roman" w:hAnsi="Times New Roman" w:cs="Times New Roman"/>
          <w:sz w:val="28"/>
          <w:szCs w:val="28"/>
          <w:lang w:eastAsia="uk-UA"/>
        </w:rPr>
        <w:t xml:space="preserve"> тисяч грн. або 0,3 відсотка</w:t>
      </w:r>
      <w:r w:rsidRPr="00EF61B3">
        <w:rPr>
          <w:rFonts w:ascii="Times New Roman" w:hAnsi="Times New Roman" w:cs="Times New Roman"/>
          <w:sz w:val="28"/>
          <w:szCs w:val="28"/>
          <w:lang w:eastAsia="uk-UA"/>
        </w:rPr>
        <w:t xml:space="preserve">, </w:t>
      </w:r>
      <w:r w:rsidRPr="00EF61B3">
        <w:rPr>
          <w:rFonts w:ascii="Times New Roman" w:hAnsi="Times New Roman" w:cs="Times New Roman"/>
          <w:sz w:val="28"/>
          <w:szCs w:val="28"/>
          <w:lang w:eastAsia="ru-RU"/>
        </w:rPr>
        <w:t>Державною службою України з надзвичайних ситуацій</w:t>
      </w:r>
      <w:r w:rsidRPr="00EF61B3">
        <w:rPr>
          <w:rFonts w:ascii="Times New Roman" w:hAnsi="Times New Roman" w:cs="Times New Roman"/>
          <w:sz w:val="28"/>
          <w:szCs w:val="28"/>
          <w:lang w:eastAsia="uk-UA"/>
        </w:rPr>
        <w:t xml:space="preserve"> укладено договорів на суму </w:t>
      </w:r>
      <w:r>
        <w:rPr>
          <w:rFonts w:ascii="Times New Roman" w:hAnsi="Times New Roman" w:cs="Times New Roman"/>
          <w:sz w:val="28"/>
          <w:szCs w:val="28"/>
        </w:rPr>
        <w:t>201 202, 96 тис грн. або 1,53 відсотка</w:t>
      </w:r>
      <w:r w:rsidRPr="00EF61B3">
        <w:rPr>
          <w:rFonts w:ascii="Times New Roman" w:hAnsi="Times New Roman" w:cs="Times New Roman"/>
          <w:sz w:val="28"/>
          <w:szCs w:val="28"/>
        </w:rPr>
        <w:t xml:space="preserve">, </w:t>
      </w:r>
      <w:r w:rsidRPr="00EF61B3">
        <w:rPr>
          <w:rFonts w:ascii="Times New Roman" w:hAnsi="Times New Roman" w:cs="Times New Roman"/>
          <w:sz w:val="28"/>
          <w:szCs w:val="28"/>
          <w:lang w:eastAsia="ru-RU"/>
        </w:rPr>
        <w:t>Міністерством внутрішніх справ України</w:t>
      </w:r>
      <w:r w:rsidRPr="00EF61B3">
        <w:rPr>
          <w:rFonts w:ascii="Times New Roman" w:hAnsi="Times New Roman" w:cs="Times New Roman"/>
          <w:sz w:val="28"/>
          <w:szCs w:val="28"/>
          <w:lang w:eastAsia="uk-UA"/>
        </w:rPr>
        <w:t xml:space="preserve"> укладено договорів на суму </w:t>
      </w:r>
      <w:r w:rsidRPr="00EF61B3">
        <w:rPr>
          <w:rFonts w:ascii="Times New Roman" w:hAnsi="Times New Roman" w:cs="Times New Roman"/>
          <w:sz w:val="28"/>
          <w:szCs w:val="28"/>
        </w:rPr>
        <w:t>1 168 424, 409</w:t>
      </w:r>
      <w:r w:rsidRPr="00EF61B3">
        <w:rPr>
          <w:rFonts w:ascii="Times New Roman" w:hAnsi="Times New Roman" w:cs="Times New Roman"/>
          <w:sz w:val="28"/>
          <w:szCs w:val="28"/>
          <w:lang w:eastAsia="uk-UA"/>
        </w:rPr>
        <w:t>тис. гр</w:t>
      </w:r>
      <w:r>
        <w:rPr>
          <w:rFonts w:ascii="Times New Roman" w:hAnsi="Times New Roman" w:cs="Times New Roman"/>
          <w:sz w:val="28"/>
          <w:szCs w:val="28"/>
          <w:lang w:eastAsia="uk-UA"/>
        </w:rPr>
        <w:t>н. або 8,94 відсотка</w:t>
      </w:r>
      <w:r w:rsidRPr="00EF61B3">
        <w:rPr>
          <w:rFonts w:ascii="Times New Roman" w:hAnsi="Times New Roman" w:cs="Times New Roman"/>
          <w:sz w:val="28"/>
          <w:szCs w:val="28"/>
          <w:lang w:eastAsia="uk-UA"/>
        </w:rPr>
        <w:t xml:space="preserve">, Міністерством оборони України укладено договорів на суму </w:t>
      </w:r>
      <w:r>
        <w:rPr>
          <w:rFonts w:ascii="Times New Roman" w:hAnsi="Times New Roman" w:cs="Times New Roman"/>
          <w:sz w:val="28"/>
          <w:szCs w:val="28"/>
        </w:rPr>
        <w:t>11 321 571, 010, тис. грн</w:t>
      </w:r>
      <w:r w:rsidRPr="00EF61B3">
        <w:rPr>
          <w:rFonts w:ascii="Times New Roman" w:hAnsi="Times New Roman" w:cs="Times New Roman"/>
          <w:sz w:val="28"/>
          <w:szCs w:val="28"/>
        </w:rPr>
        <w:t>, або</w:t>
      </w:r>
      <w:r>
        <w:rPr>
          <w:rFonts w:ascii="Times New Roman" w:hAnsi="Times New Roman" w:cs="Times New Roman"/>
          <w:sz w:val="28"/>
          <w:szCs w:val="28"/>
          <w:lang w:eastAsia="uk-UA"/>
        </w:rPr>
        <w:t xml:space="preserve"> 86,64 відсотка</w:t>
      </w:r>
      <w:r w:rsidRPr="00EF61B3">
        <w:rPr>
          <w:rFonts w:ascii="Times New Roman" w:hAnsi="Times New Roman" w:cs="Times New Roman"/>
          <w:sz w:val="28"/>
          <w:szCs w:val="28"/>
          <w:lang w:eastAsia="uk-UA"/>
        </w:rPr>
        <w:t xml:space="preserve">, Службою безпеки України укладено договорів на суму </w:t>
      </w:r>
      <w:r>
        <w:rPr>
          <w:rFonts w:ascii="Times New Roman" w:hAnsi="Times New Roman" w:cs="Times New Roman"/>
          <w:sz w:val="28"/>
          <w:szCs w:val="28"/>
        </w:rPr>
        <w:t>1 400,00  тис. грн. або 0,01 відсоток</w:t>
      </w:r>
      <w:r w:rsidRPr="00EF61B3">
        <w:rPr>
          <w:rFonts w:ascii="Times New Roman" w:hAnsi="Times New Roman" w:cs="Times New Roman"/>
          <w:sz w:val="28"/>
          <w:szCs w:val="28"/>
        </w:rPr>
        <w:t>, Службою зовнішньої розвідки України укладено договорів на суму</w:t>
      </w:r>
      <w:r>
        <w:rPr>
          <w:rFonts w:ascii="Times New Roman" w:hAnsi="Times New Roman" w:cs="Times New Roman"/>
          <w:sz w:val="28"/>
          <w:szCs w:val="28"/>
        </w:rPr>
        <w:t xml:space="preserve">  83 862, 92</w:t>
      </w:r>
      <w:r w:rsidRPr="00A53887">
        <w:rPr>
          <w:rFonts w:ascii="Times New Roman" w:hAnsi="Times New Roman" w:cs="Times New Roman"/>
          <w:sz w:val="28"/>
          <w:szCs w:val="28"/>
        </w:rPr>
        <w:t xml:space="preserve"> </w:t>
      </w:r>
      <w:r>
        <w:rPr>
          <w:rFonts w:ascii="Times New Roman" w:hAnsi="Times New Roman" w:cs="Times New Roman"/>
          <w:sz w:val="28"/>
          <w:szCs w:val="28"/>
        </w:rPr>
        <w:t>тис. грн, або 0,64 відсотка.</w:t>
      </w:r>
      <w:r w:rsidRPr="00EF61B3">
        <w:rPr>
          <w:rFonts w:ascii="Times New Roman" w:hAnsi="Times New Roman" w:cs="Times New Roman"/>
          <w:sz w:val="28"/>
          <w:szCs w:val="28"/>
          <w:lang w:eastAsia="uk-UA"/>
        </w:rPr>
        <w:t xml:space="preserve"> (Рис. 2).</w:t>
      </w:r>
    </w:p>
    <w:p w:rsidR="00B008B9" w:rsidRPr="004212E5" w:rsidRDefault="00B008B9" w:rsidP="002E66D6">
      <w:pPr>
        <w:spacing w:after="0" w:line="360" w:lineRule="auto"/>
        <w:ind w:firstLine="720"/>
        <w:jc w:val="both"/>
        <w:rPr>
          <w:rFonts w:ascii="Times New Roman" w:hAnsi="Times New Roman" w:cs="Times New Roman"/>
          <w:sz w:val="28"/>
          <w:szCs w:val="28"/>
          <w:highlight w:val="red"/>
          <w:lang w:eastAsia="uk-UA"/>
        </w:rPr>
      </w:pPr>
      <w:r w:rsidRPr="00EF61B3">
        <w:rPr>
          <w:rFonts w:ascii="Times New Roman" w:hAnsi="Times New Roman" w:cs="Times New Roman"/>
          <w:sz w:val="28"/>
          <w:szCs w:val="28"/>
          <w:lang w:eastAsia="uk-UA"/>
        </w:rPr>
        <w:t>Загальна сума фактичних видатків за договорами, що укладені за результатами процедур державних закупівель, у  2015 році становить 79739677,4 тис. гривень, що складає 40,5 відсотка від загального обсягу укладених договорів. У січні – грудні 2014 року такі фактичні видатки становили 49 630 051,0 тис. гривень, що складає 43,6 відсотка</w:t>
      </w:r>
      <w:r w:rsidRPr="005F25CB">
        <w:rPr>
          <w:rFonts w:ascii="Times New Roman" w:hAnsi="Times New Roman" w:cs="Times New Roman"/>
          <w:sz w:val="28"/>
          <w:szCs w:val="28"/>
          <w:lang w:eastAsia="uk-UA"/>
        </w:rPr>
        <w:t xml:space="preserve">. </w:t>
      </w:r>
    </w:p>
    <w:p w:rsidR="00B008B9" w:rsidRPr="00F85598" w:rsidRDefault="00B008B9" w:rsidP="002E66D6">
      <w:pPr>
        <w:spacing w:before="20" w:after="0" w:line="360" w:lineRule="auto"/>
        <w:jc w:val="center"/>
        <w:rPr>
          <w:rFonts w:ascii="Times New Roman" w:hAnsi="Times New Roman" w:cs="Times New Roman"/>
          <w:sz w:val="28"/>
          <w:szCs w:val="28"/>
          <w:lang w:val="ru-RU" w:eastAsia="uk-UA"/>
        </w:rPr>
      </w:pPr>
    </w:p>
    <w:p w:rsidR="00B008B9" w:rsidRDefault="00B008B9" w:rsidP="002E66D6">
      <w:pPr>
        <w:spacing w:before="20" w:after="0" w:line="360" w:lineRule="auto"/>
        <w:jc w:val="center"/>
        <w:rPr>
          <w:rFonts w:ascii="Times New Roman" w:hAnsi="Times New Roman" w:cs="Times New Roman"/>
          <w:b/>
          <w:bCs/>
          <w:sz w:val="28"/>
          <w:szCs w:val="28"/>
          <w:lang w:eastAsia="uk-UA"/>
        </w:rPr>
      </w:pPr>
      <w:r w:rsidRPr="008D02A6">
        <w:rPr>
          <w:rFonts w:ascii="Times New Roman" w:hAnsi="Times New Roman" w:cs="Times New Roman"/>
          <w:b/>
          <w:bCs/>
          <w:sz w:val="28"/>
          <w:szCs w:val="28"/>
          <w:lang w:eastAsia="uk-UA"/>
        </w:rPr>
        <w:t xml:space="preserve">Структура розподілу коштів за укладеними договорами </w:t>
      </w:r>
      <w:r w:rsidRPr="008D02A6">
        <w:rPr>
          <w:rFonts w:ascii="Times New Roman" w:hAnsi="Times New Roman" w:cs="Times New Roman"/>
          <w:b/>
          <w:bCs/>
          <w:sz w:val="28"/>
          <w:szCs w:val="28"/>
          <w:lang w:eastAsia="uk-UA"/>
        </w:rPr>
        <w:br/>
        <w:t>у січні – грудні 2015 року в розрізі замовників</w:t>
      </w:r>
    </w:p>
    <w:p w:rsidR="00B008B9" w:rsidRDefault="00B008B9" w:rsidP="002E66D6">
      <w:pPr>
        <w:spacing w:before="20" w:after="0" w:line="360" w:lineRule="auto"/>
        <w:jc w:val="center"/>
        <w:rPr>
          <w:rFonts w:ascii="Times New Roman" w:hAnsi="Times New Roman" w:cs="Times New Roman"/>
          <w:b/>
          <w:bCs/>
          <w:sz w:val="28"/>
          <w:szCs w:val="28"/>
          <w:lang w:eastAsia="uk-UA"/>
        </w:rPr>
      </w:pPr>
    </w:p>
    <w:p w:rsidR="00B008B9" w:rsidRDefault="00B008B9" w:rsidP="002E66D6">
      <w:pPr>
        <w:spacing w:before="20" w:after="0" w:line="360" w:lineRule="auto"/>
        <w:jc w:val="center"/>
        <w:rPr>
          <w:rFonts w:ascii="Times New Roman" w:hAnsi="Times New Roman" w:cs="Times New Roman"/>
          <w:b/>
          <w:bCs/>
          <w:noProof/>
          <w:sz w:val="28"/>
          <w:szCs w:val="28"/>
          <w:lang w:eastAsia="uk-UA"/>
        </w:rPr>
      </w:pPr>
      <w:r w:rsidRPr="00114444">
        <w:rPr>
          <w:rFonts w:ascii="Times New Roman" w:hAnsi="Times New Roman" w:cs="Times New Roman"/>
          <w:b/>
          <w:bCs/>
          <w:noProof/>
          <w:sz w:val="28"/>
          <w:szCs w:val="28"/>
          <w:lang w:eastAsia="uk-UA"/>
        </w:rPr>
        <w:pict>
          <v:shape id="_x0000_i1026" type="#_x0000_t75" style="width:476.25pt;height:345.75pt">
            <v:imagedata r:id="rId10" o:title="" croptop="28941f" cropbottom="3327f"/>
          </v:shape>
        </w:pict>
      </w:r>
    </w:p>
    <w:p w:rsidR="00B008B9" w:rsidRDefault="00B008B9" w:rsidP="002E66D6">
      <w:pPr>
        <w:spacing w:before="20" w:after="0" w:line="360" w:lineRule="auto"/>
        <w:jc w:val="center"/>
        <w:rPr>
          <w:rFonts w:ascii="Times New Roman" w:hAnsi="Times New Roman" w:cs="Times New Roman"/>
          <w:b/>
          <w:bCs/>
          <w:sz w:val="28"/>
          <w:szCs w:val="28"/>
          <w:lang w:eastAsia="uk-UA"/>
        </w:rPr>
      </w:pPr>
    </w:p>
    <w:p w:rsidR="00B008B9" w:rsidRPr="004212E5" w:rsidRDefault="00B008B9" w:rsidP="002E66D6">
      <w:pPr>
        <w:spacing w:after="0" w:line="360" w:lineRule="auto"/>
        <w:jc w:val="center"/>
        <w:outlineLvl w:val="0"/>
        <w:rPr>
          <w:rFonts w:ascii="Times New Roman" w:hAnsi="Times New Roman" w:cs="Times New Roman"/>
          <w:sz w:val="28"/>
          <w:szCs w:val="28"/>
          <w:lang w:eastAsia="uk-UA"/>
        </w:rPr>
      </w:pPr>
      <w:r w:rsidRPr="004212E5">
        <w:rPr>
          <w:rFonts w:ascii="Times New Roman" w:hAnsi="Times New Roman" w:cs="Times New Roman"/>
          <w:sz w:val="28"/>
          <w:szCs w:val="28"/>
          <w:lang w:eastAsia="uk-UA"/>
        </w:rPr>
        <w:t>Рис. 2</w:t>
      </w:r>
    </w:p>
    <w:p w:rsidR="00B008B9" w:rsidRPr="004212E5" w:rsidRDefault="00B008B9" w:rsidP="002E66D6">
      <w:pPr>
        <w:spacing w:after="0" w:line="360" w:lineRule="auto"/>
        <w:ind w:firstLine="720"/>
        <w:jc w:val="both"/>
        <w:rPr>
          <w:rFonts w:ascii="Times New Roman" w:hAnsi="Times New Roman" w:cs="Times New Roman"/>
          <w:sz w:val="28"/>
          <w:szCs w:val="28"/>
          <w:lang w:eastAsia="uk-UA"/>
        </w:rPr>
      </w:pPr>
      <w:r w:rsidRPr="00783DF0">
        <w:rPr>
          <w:rFonts w:ascii="Times New Roman" w:hAnsi="Times New Roman" w:cs="Times New Roman"/>
          <w:sz w:val="28"/>
          <w:szCs w:val="28"/>
          <w:lang w:eastAsia="uk-UA"/>
        </w:rPr>
        <w:t>Аналіз структури фактичних видатків за укладеними договорами у розрізі предметів закупівлі показує, що у звітному періоді замовниками на закупівлю послуг витрачено 35 відсотків загального обсягу коштів, товарів – 55 відсотків (з них товари вітчизняного виробництва – 73,5 відсотка), та робіт – 26,5 відсотка.</w:t>
      </w:r>
      <w:r w:rsidRPr="004212E5">
        <w:rPr>
          <w:rFonts w:ascii="Times New Roman" w:hAnsi="Times New Roman" w:cs="Times New Roman"/>
          <w:sz w:val="28"/>
          <w:szCs w:val="28"/>
          <w:lang w:eastAsia="uk-UA"/>
        </w:rPr>
        <w:t xml:space="preserve"> </w:t>
      </w:r>
    </w:p>
    <w:p w:rsidR="00B008B9" w:rsidRDefault="00B008B9" w:rsidP="002E66D6">
      <w:pPr>
        <w:spacing w:after="0" w:line="360" w:lineRule="auto"/>
        <w:ind w:firstLine="720"/>
        <w:jc w:val="both"/>
        <w:rPr>
          <w:rFonts w:ascii="Times New Roman" w:hAnsi="Times New Roman" w:cs="Times New Roman"/>
          <w:sz w:val="28"/>
          <w:szCs w:val="28"/>
          <w:lang w:eastAsia="uk-UA"/>
        </w:rPr>
      </w:pPr>
      <w:r w:rsidRPr="00783DF0">
        <w:rPr>
          <w:rFonts w:ascii="Times New Roman" w:hAnsi="Times New Roman" w:cs="Times New Roman"/>
          <w:sz w:val="28"/>
          <w:szCs w:val="28"/>
          <w:lang w:eastAsia="uk-UA"/>
        </w:rPr>
        <w:t>У структурі джерел фінансування зобов’язань за договорами п</w:t>
      </w:r>
      <w:r>
        <w:rPr>
          <w:rFonts w:ascii="Times New Roman" w:hAnsi="Times New Roman" w:cs="Times New Roman"/>
          <w:sz w:val="28"/>
          <w:szCs w:val="28"/>
          <w:lang w:eastAsia="uk-UA"/>
        </w:rPr>
        <w:t>ро закупівлю найбільші частки 33,03 відсотка та 28,55</w:t>
      </w:r>
      <w:r w:rsidRPr="00783DF0">
        <w:rPr>
          <w:rFonts w:ascii="Times New Roman" w:hAnsi="Times New Roman" w:cs="Times New Roman"/>
          <w:sz w:val="28"/>
          <w:szCs w:val="28"/>
          <w:lang w:eastAsia="uk-UA"/>
        </w:rPr>
        <w:t xml:space="preserve"> відсотка становили кошти Державного бюджету України та кошти місцевих бюджетів відповідно. Крім того, вагому частку становили кошти державних, казенних, комунальних підприємств та кошти господарських товариств, в яких державна частка акцій перевищує 50 відсотків –</w:t>
      </w:r>
      <w:r>
        <w:rPr>
          <w:rFonts w:ascii="Times New Roman" w:hAnsi="Times New Roman" w:cs="Times New Roman"/>
          <w:sz w:val="28"/>
          <w:szCs w:val="28"/>
          <w:lang w:eastAsia="uk-UA"/>
        </w:rPr>
        <w:t xml:space="preserve"> 24,69  та 11,46 відсотків</w:t>
      </w:r>
      <w:r w:rsidRPr="00783DF0">
        <w:rPr>
          <w:rFonts w:ascii="Times New Roman" w:hAnsi="Times New Roman" w:cs="Times New Roman"/>
          <w:sz w:val="28"/>
          <w:szCs w:val="28"/>
          <w:lang w:eastAsia="uk-UA"/>
        </w:rPr>
        <w:t xml:space="preserve"> відповідно. (Рис.3)</w:t>
      </w:r>
      <w:r w:rsidRPr="004212E5">
        <w:rPr>
          <w:rFonts w:ascii="Times New Roman" w:hAnsi="Times New Roman" w:cs="Times New Roman"/>
          <w:sz w:val="28"/>
          <w:szCs w:val="28"/>
          <w:lang w:eastAsia="uk-UA"/>
        </w:rPr>
        <w:t xml:space="preserve"> </w:t>
      </w:r>
    </w:p>
    <w:p w:rsidR="00B008B9" w:rsidRPr="00F85598" w:rsidRDefault="00B008B9" w:rsidP="002E66D6">
      <w:pPr>
        <w:spacing w:after="0" w:line="360" w:lineRule="auto"/>
        <w:ind w:firstLine="720"/>
        <w:jc w:val="both"/>
        <w:rPr>
          <w:rFonts w:ascii="Times New Roman" w:hAnsi="Times New Roman" w:cs="Times New Roman"/>
          <w:sz w:val="28"/>
          <w:szCs w:val="28"/>
          <w:lang w:val="ru-RU" w:eastAsia="uk-UA"/>
        </w:rPr>
      </w:pPr>
    </w:p>
    <w:p w:rsidR="00B008B9" w:rsidRPr="00FA6C60" w:rsidRDefault="00B008B9" w:rsidP="002E66D6">
      <w:pPr>
        <w:autoSpaceDE w:val="0"/>
        <w:autoSpaceDN w:val="0"/>
        <w:adjustRightInd w:val="0"/>
        <w:spacing w:after="120" w:line="360" w:lineRule="auto"/>
        <w:jc w:val="center"/>
        <w:rPr>
          <w:rFonts w:ascii="Times New Roman" w:hAnsi="Times New Roman" w:cs="Times New Roman"/>
          <w:b/>
          <w:sz w:val="28"/>
          <w:szCs w:val="28"/>
          <w:lang w:eastAsia="uk-UA"/>
        </w:rPr>
      </w:pPr>
      <w:r w:rsidRPr="00FA6C60">
        <w:rPr>
          <w:rFonts w:ascii="Times New Roman" w:hAnsi="Times New Roman" w:cs="Times New Roman"/>
          <w:b/>
          <w:sz w:val="28"/>
          <w:szCs w:val="28"/>
          <w:lang w:eastAsia="uk-UA"/>
        </w:rPr>
        <w:t>Структура джерел фінансування укладених договорів для закупівлі товарів, робіт і послуг у січні – грудні 2015 року</w:t>
      </w:r>
    </w:p>
    <w:p w:rsidR="00B008B9" w:rsidRPr="004212E5" w:rsidRDefault="00B008B9" w:rsidP="002E66D6">
      <w:pPr>
        <w:autoSpaceDE w:val="0"/>
        <w:autoSpaceDN w:val="0"/>
        <w:adjustRightInd w:val="0"/>
        <w:spacing w:after="0" w:line="360" w:lineRule="auto"/>
        <w:jc w:val="center"/>
        <w:rPr>
          <w:rFonts w:ascii="Times New Roman" w:hAnsi="Times New Roman" w:cs="Times New Roman"/>
          <w:sz w:val="28"/>
          <w:szCs w:val="28"/>
          <w:lang w:eastAsia="uk-UA"/>
        </w:rPr>
      </w:pPr>
      <w:r w:rsidRPr="00873015">
        <w:rPr>
          <w:rFonts w:ascii="Times New Roman" w:hAnsi="Times New Roman" w:cs="Times New Roman"/>
          <w:noProof/>
          <w:sz w:val="28"/>
          <w:szCs w:val="28"/>
          <w:lang w:eastAsia="uk-UA"/>
        </w:rPr>
        <w:pict>
          <v:shape id="Рисунок 1" o:spid="_x0000_i1027" type="#_x0000_t75" style="width:476.25pt;height:337.5pt;visibility:visible">
            <v:imagedata r:id="rId11" o:title="" croptop="30291f" cropbottom="2394f"/>
          </v:shape>
        </w:pict>
      </w:r>
    </w:p>
    <w:p w:rsidR="00B008B9" w:rsidRPr="004212E5" w:rsidRDefault="00B008B9" w:rsidP="002E66D6">
      <w:pPr>
        <w:autoSpaceDE w:val="0"/>
        <w:autoSpaceDN w:val="0"/>
        <w:adjustRightInd w:val="0"/>
        <w:spacing w:after="0" w:line="360" w:lineRule="auto"/>
        <w:jc w:val="center"/>
        <w:outlineLvl w:val="0"/>
        <w:rPr>
          <w:rFonts w:ascii="Times New Roman" w:hAnsi="Times New Roman" w:cs="Times New Roman"/>
          <w:sz w:val="28"/>
          <w:szCs w:val="28"/>
          <w:lang w:eastAsia="uk-UA"/>
        </w:rPr>
      </w:pPr>
      <w:r w:rsidRPr="004212E5">
        <w:rPr>
          <w:rFonts w:ascii="Times New Roman" w:hAnsi="Times New Roman" w:cs="Times New Roman"/>
          <w:sz w:val="28"/>
          <w:szCs w:val="28"/>
          <w:lang w:eastAsia="uk-UA"/>
        </w:rPr>
        <w:t>Рис. 3</w:t>
      </w:r>
    </w:p>
    <w:p w:rsidR="00B008B9" w:rsidRPr="000F6C81" w:rsidRDefault="00B008B9" w:rsidP="002E66D6">
      <w:pPr>
        <w:spacing w:after="0" w:line="360" w:lineRule="auto"/>
        <w:ind w:firstLine="720"/>
        <w:jc w:val="both"/>
        <w:rPr>
          <w:rFonts w:ascii="Times New Roman" w:hAnsi="Times New Roman" w:cs="Times New Roman"/>
          <w:sz w:val="28"/>
          <w:szCs w:val="28"/>
          <w:lang w:val="ru-RU" w:eastAsia="uk-UA"/>
        </w:rPr>
      </w:pPr>
      <w:r w:rsidRPr="004212E5">
        <w:rPr>
          <w:rFonts w:ascii="Times New Roman" w:hAnsi="Times New Roman" w:cs="Times New Roman"/>
          <w:sz w:val="28"/>
          <w:szCs w:val="28"/>
          <w:lang w:eastAsia="uk-UA"/>
        </w:rPr>
        <w:t xml:space="preserve">Згідно з даними форми № 1 – торги у звітному періоді замовники для закупівлі товарів, робіт і послуг, які не підпадають під дію Закону (вартість предмета закупівлі менша порогових значень, встановлених Законом, а також предмети закупівлі, на які не поширюється дія Закону), уклали </w:t>
      </w:r>
      <w:r w:rsidRPr="00C92BBB">
        <w:rPr>
          <w:rFonts w:ascii="Times New Roman" w:hAnsi="Times New Roman" w:cs="Times New Roman"/>
          <w:sz w:val="28"/>
          <w:szCs w:val="28"/>
        </w:rPr>
        <w:t>2194058</w:t>
      </w:r>
      <w:r>
        <w:rPr>
          <w:rFonts w:ascii="Times New Roman" w:hAnsi="Times New Roman" w:cs="Times New Roman"/>
          <w:sz w:val="28"/>
          <w:szCs w:val="28"/>
        </w:rPr>
        <w:t xml:space="preserve"> </w:t>
      </w:r>
      <w:r w:rsidRPr="00C92BBB">
        <w:rPr>
          <w:rFonts w:ascii="Times New Roman" w:hAnsi="Times New Roman" w:cs="Times New Roman"/>
          <w:sz w:val="28"/>
          <w:szCs w:val="28"/>
          <w:lang w:eastAsia="uk-UA"/>
        </w:rPr>
        <w:t xml:space="preserve">договорів на загальну суму </w:t>
      </w:r>
      <w:r w:rsidRPr="00C92BBB">
        <w:rPr>
          <w:rFonts w:ascii="Times New Roman" w:hAnsi="Times New Roman" w:cs="Times New Roman"/>
          <w:sz w:val="28"/>
          <w:szCs w:val="28"/>
        </w:rPr>
        <w:t>59760746,8</w:t>
      </w:r>
      <w:r>
        <w:rPr>
          <w:rFonts w:ascii="Times New Roman" w:hAnsi="Times New Roman" w:cs="Times New Roman"/>
          <w:sz w:val="28"/>
          <w:szCs w:val="28"/>
        </w:rPr>
        <w:t xml:space="preserve"> </w:t>
      </w:r>
      <w:r w:rsidRPr="004212E5">
        <w:rPr>
          <w:rFonts w:ascii="Times New Roman" w:hAnsi="Times New Roman" w:cs="Times New Roman"/>
          <w:sz w:val="28"/>
          <w:szCs w:val="28"/>
          <w:lang w:eastAsia="uk-UA"/>
        </w:rPr>
        <w:t xml:space="preserve">тис. гривень. Найбільше було здійснено таких закупівель за кошти </w:t>
      </w:r>
      <w:r w:rsidRPr="00245F1C">
        <w:rPr>
          <w:rFonts w:ascii="Times New Roman" w:hAnsi="Times New Roman" w:cs="Times New Roman"/>
          <w:sz w:val="28"/>
          <w:szCs w:val="28"/>
          <w:lang w:eastAsia="uk-UA"/>
        </w:rPr>
        <w:t>державних, казенних, комунальних підприємств</w:t>
      </w:r>
      <w:r w:rsidRPr="004212E5">
        <w:rPr>
          <w:rFonts w:ascii="Times New Roman" w:hAnsi="Times New Roman" w:cs="Times New Roman"/>
          <w:sz w:val="28"/>
          <w:szCs w:val="28"/>
          <w:lang w:eastAsia="uk-UA"/>
        </w:rPr>
        <w:t xml:space="preserve"> (Таблиця 2). </w:t>
      </w:r>
    </w:p>
    <w:p w:rsidR="00B008B9" w:rsidRPr="004212E5" w:rsidRDefault="00B008B9" w:rsidP="002E66D6">
      <w:pPr>
        <w:shd w:val="clear" w:color="auto" w:fill="FFFFFF"/>
        <w:spacing w:after="0" w:line="360" w:lineRule="auto"/>
        <w:ind w:firstLine="709"/>
        <w:jc w:val="right"/>
        <w:outlineLvl w:val="0"/>
        <w:rPr>
          <w:rFonts w:ascii="Times New Roman" w:hAnsi="Times New Roman" w:cs="Times New Roman"/>
          <w:sz w:val="28"/>
          <w:szCs w:val="28"/>
          <w:lang w:eastAsia="uk-UA"/>
        </w:rPr>
      </w:pPr>
      <w:r w:rsidRPr="004212E5">
        <w:rPr>
          <w:rFonts w:ascii="Times New Roman" w:hAnsi="Times New Roman" w:cs="Times New Roman"/>
          <w:sz w:val="28"/>
          <w:szCs w:val="28"/>
          <w:lang w:eastAsia="uk-UA"/>
        </w:rPr>
        <w:t>Таблиця 2</w:t>
      </w:r>
    </w:p>
    <w:p w:rsidR="00B008B9" w:rsidRPr="00D52E2B" w:rsidRDefault="00B008B9" w:rsidP="002E66D6">
      <w:pPr>
        <w:spacing w:after="0" w:line="360" w:lineRule="auto"/>
        <w:jc w:val="center"/>
        <w:outlineLvl w:val="0"/>
        <w:rPr>
          <w:rFonts w:ascii="Times New Roman" w:hAnsi="Times New Roman" w:cs="Times New Roman"/>
          <w:b/>
          <w:sz w:val="28"/>
          <w:szCs w:val="28"/>
          <w:lang w:eastAsia="uk-UA"/>
        </w:rPr>
      </w:pPr>
      <w:r w:rsidRPr="00D52E2B">
        <w:rPr>
          <w:rFonts w:ascii="Times New Roman" w:hAnsi="Times New Roman" w:cs="Times New Roman"/>
          <w:b/>
          <w:sz w:val="28"/>
          <w:szCs w:val="28"/>
          <w:lang w:eastAsia="uk-UA"/>
        </w:rPr>
        <w:t xml:space="preserve">Структура договорів, укладених без застосування процедур </w:t>
      </w:r>
    </w:p>
    <w:p w:rsidR="00B008B9" w:rsidRPr="000F6C81" w:rsidRDefault="00B008B9" w:rsidP="002E66D6">
      <w:pPr>
        <w:spacing w:after="0" w:line="360" w:lineRule="auto"/>
        <w:jc w:val="center"/>
        <w:rPr>
          <w:rFonts w:ascii="Times New Roman" w:hAnsi="Times New Roman" w:cs="Times New Roman"/>
          <w:b/>
          <w:sz w:val="28"/>
          <w:szCs w:val="28"/>
          <w:lang w:val="ru-RU" w:eastAsia="uk-UA"/>
        </w:rPr>
      </w:pPr>
      <w:r>
        <w:rPr>
          <w:rFonts w:ascii="Times New Roman" w:hAnsi="Times New Roman" w:cs="Times New Roman"/>
          <w:b/>
          <w:sz w:val="28"/>
          <w:szCs w:val="28"/>
          <w:lang w:eastAsia="uk-UA"/>
        </w:rPr>
        <w:t>закупівель у січні – грудні</w:t>
      </w:r>
      <w:r w:rsidRPr="00D52E2B">
        <w:rPr>
          <w:rFonts w:ascii="Times New Roman" w:hAnsi="Times New Roman" w:cs="Times New Roman"/>
          <w:b/>
          <w:sz w:val="28"/>
          <w:szCs w:val="28"/>
          <w:lang w:eastAsia="uk-UA"/>
        </w:rPr>
        <w:t xml:space="preserve"> 2015 року, за джерелами фінансування</w:t>
      </w:r>
    </w:p>
    <w:tbl>
      <w:tblPr>
        <w:tblW w:w="9720" w:type="dxa"/>
        <w:tblInd w:w="-106" w:type="dxa"/>
        <w:tblLook w:val="0000"/>
      </w:tblPr>
      <w:tblGrid>
        <w:gridCol w:w="4500"/>
        <w:gridCol w:w="2700"/>
        <w:gridCol w:w="2520"/>
      </w:tblGrid>
      <w:tr w:rsidR="00B008B9" w:rsidRPr="004212E5" w:rsidTr="004068CA">
        <w:trPr>
          <w:trHeight w:val="766"/>
        </w:trPr>
        <w:tc>
          <w:tcPr>
            <w:tcW w:w="4500" w:type="dxa"/>
            <w:tcBorders>
              <w:top w:val="single" w:sz="8" w:space="0" w:color="auto"/>
              <w:left w:val="nil"/>
              <w:bottom w:val="single" w:sz="8" w:space="0" w:color="auto"/>
              <w:right w:val="single" w:sz="8" w:space="0" w:color="auto"/>
            </w:tcBorders>
            <w:shd w:val="clear" w:color="auto" w:fill="002060"/>
            <w:vAlign w:val="center"/>
          </w:tcPr>
          <w:p w:rsidR="00B008B9" w:rsidRPr="00B33A07" w:rsidRDefault="00B008B9" w:rsidP="002E66D6">
            <w:pPr>
              <w:spacing w:after="0" w:line="360" w:lineRule="auto"/>
              <w:jc w:val="center"/>
              <w:rPr>
                <w:rFonts w:ascii="Times New Roman" w:eastAsia="MS Mincho" w:hAnsi="Times New Roman" w:cs="Times New Roman"/>
                <w:b/>
                <w:sz w:val="28"/>
                <w:szCs w:val="28"/>
                <w:lang w:eastAsia="ja-JP"/>
              </w:rPr>
            </w:pPr>
            <w:r w:rsidRPr="00B33A07">
              <w:rPr>
                <w:rFonts w:ascii="Times New Roman" w:eastAsia="MS Mincho" w:hAnsi="Times New Roman" w:cs="Times New Roman"/>
                <w:b/>
                <w:sz w:val="28"/>
                <w:szCs w:val="28"/>
                <w:lang w:eastAsia="ja-JP"/>
              </w:rPr>
              <w:t>Джерела фінансування</w:t>
            </w:r>
          </w:p>
        </w:tc>
        <w:tc>
          <w:tcPr>
            <w:tcW w:w="2700" w:type="dxa"/>
            <w:tcBorders>
              <w:top w:val="single" w:sz="8" w:space="0" w:color="auto"/>
              <w:left w:val="nil"/>
              <w:bottom w:val="single" w:sz="8" w:space="0" w:color="auto"/>
              <w:right w:val="single" w:sz="8" w:space="0" w:color="auto"/>
            </w:tcBorders>
            <w:shd w:val="clear" w:color="auto" w:fill="002060"/>
            <w:vAlign w:val="center"/>
          </w:tcPr>
          <w:p w:rsidR="00B008B9" w:rsidRPr="00B33A07" w:rsidRDefault="00B008B9" w:rsidP="002E66D6">
            <w:pPr>
              <w:spacing w:after="0" w:line="360" w:lineRule="auto"/>
              <w:jc w:val="center"/>
              <w:rPr>
                <w:rFonts w:ascii="Times New Roman" w:eastAsia="MS Mincho" w:hAnsi="Times New Roman" w:cs="Times New Roman"/>
                <w:b/>
                <w:sz w:val="28"/>
                <w:szCs w:val="28"/>
                <w:lang w:eastAsia="ja-JP"/>
              </w:rPr>
            </w:pPr>
            <w:r w:rsidRPr="00B33A07">
              <w:rPr>
                <w:rFonts w:ascii="Times New Roman" w:eastAsia="MS Mincho" w:hAnsi="Times New Roman" w:cs="Times New Roman"/>
                <w:b/>
                <w:sz w:val="28"/>
                <w:szCs w:val="28"/>
                <w:lang w:eastAsia="ja-JP"/>
              </w:rPr>
              <w:t>Вартість укладених договорів, тис. грн.</w:t>
            </w:r>
          </w:p>
        </w:tc>
        <w:tc>
          <w:tcPr>
            <w:tcW w:w="2520" w:type="dxa"/>
            <w:tcBorders>
              <w:top w:val="single" w:sz="8" w:space="0" w:color="auto"/>
              <w:left w:val="nil"/>
              <w:bottom w:val="single" w:sz="8" w:space="0" w:color="auto"/>
              <w:right w:val="nil"/>
            </w:tcBorders>
            <w:shd w:val="clear" w:color="auto" w:fill="002060"/>
            <w:vAlign w:val="center"/>
          </w:tcPr>
          <w:p w:rsidR="00B008B9" w:rsidRPr="00B33A07" w:rsidRDefault="00B008B9" w:rsidP="002E66D6">
            <w:pPr>
              <w:spacing w:after="0" w:line="360" w:lineRule="auto"/>
              <w:jc w:val="center"/>
              <w:rPr>
                <w:rFonts w:ascii="Times New Roman" w:eastAsia="MS Mincho" w:hAnsi="Times New Roman" w:cs="Times New Roman"/>
                <w:b/>
                <w:sz w:val="28"/>
                <w:szCs w:val="28"/>
                <w:lang w:eastAsia="ja-JP"/>
              </w:rPr>
            </w:pPr>
            <w:r w:rsidRPr="00B33A07">
              <w:rPr>
                <w:rFonts w:ascii="Times New Roman" w:eastAsia="MS Mincho" w:hAnsi="Times New Roman" w:cs="Times New Roman"/>
                <w:b/>
                <w:sz w:val="28"/>
                <w:szCs w:val="28"/>
                <w:lang w:eastAsia="ja-JP"/>
              </w:rPr>
              <w:t>Частка коштів за укладеними договорами, %</w:t>
            </w:r>
          </w:p>
        </w:tc>
      </w:tr>
      <w:tr w:rsidR="00B008B9" w:rsidRPr="004212E5" w:rsidTr="00FF22ED">
        <w:trPr>
          <w:trHeight w:val="374"/>
        </w:trPr>
        <w:tc>
          <w:tcPr>
            <w:tcW w:w="4500" w:type="dxa"/>
            <w:tcBorders>
              <w:top w:val="nil"/>
              <w:left w:val="nil"/>
              <w:bottom w:val="nil"/>
              <w:right w:val="nil"/>
            </w:tcBorders>
            <w:vAlign w:val="bottom"/>
          </w:tcPr>
          <w:p w:rsidR="00B008B9" w:rsidRPr="004212E5" w:rsidRDefault="00B008B9" w:rsidP="002E66D6">
            <w:pPr>
              <w:spacing w:after="0" w:line="360" w:lineRule="auto"/>
              <w:rPr>
                <w:rFonts w:ascii="Times New Roman" w:eastAsia="MS Mincho" w:hAnsi="Times New Roman" w:cs="Times New Roman"/>
                <w:sz w:val="28"/>
                <w:szCs w:val="28"/>
                <w:lang w:eastAsia="ja-JP"/>
              </w:rPr>
            </w:pPr>
            <w:r w:rsidRPr="004212E5">
              <w:rPr>
                <w:rFonts w:ascii="Times New Roman" w:eastAsia="MS Mincho" w:hAnsi="Times New Roman" w:cs="Times New Roman"/>
                <w:sz w:val="28"/>
                <w:szCs w:val="28"/>
                <w:lang w:eastAsia="ja-JP"/>
              </w:rPr>
              <w:t>Кошти Державного бюджету України</w:t>
            </w:r>
          </w:p>
        </w:tc>
        <w:tc>
          <w:tcPr>
            <w:tcW w:w="2700" w:type="dxa"/>
            <w:tcBorders>
              <w:top w:val="nil"/>
              <w:left w:val="nil"/>
              <w:bottom w:val="nil"/>
              <w:right w:val="nil"/>
            </w:tcBorders>
            <w:vAlign w:val="center"/>
          </w:tcPr>
          <w:p w:rsidR="00B008B9" w:rsidRPr="00B33A07" w:rsidRDefault="00B008B9" w:rsidP="002E66D6">
            <w:pPr>
              <w:spacing w:after="0" w:line="360" w:lineRule="auto"/>
              <w:jc w:val="center"/>
              <w:rPr>
                <w:rFonts w:ascii="Times New Roman" w:hAnsi="Times New Roman" w:cs="Times New Roman"/>
                <w:sz w:val="28"/>
                <w:szCs w:val="28"/>
                <w:lang w:val="ru-RU" w:eastAsia="ru-RU"/>
              </w:rPr>
            </w:pPr>
            <w:r w:rsidRPr="00B33A07">
              <w:rPr>
                <w:rFonts w:ascii="Times New Roman" w:hAnsi="Times New Roman" w:cs="Times New Roman"/>
                <w:sz w:val="28"/>
                <w:szCs w:val="28"/>
                <w:lang w:val="ru-RU" w:eastAsia="ru-RU"/>
              </w:rPr>
              <w:t>18388863,4</w:t>
            </w:r>
          </w:p>
          <w:p w:rsidR="00B008B9" w:rsidRPr="00B33A07" w:rsidRDefault="00B008B9" w:rsidP="002E66D6">
            <w:pPr>
              <w:spacing w:after="0" w:line="360" w:lineRule="auto"/>
              <w:jc w:val="center"/>
              <w:rPr>
                <w:rFonts w:ascii="Times New Roman" w:eastAsia="MS Mincho" w:hAnsi="Times New Roman"/>
                <w:sz w:val="28"/>
                <w:szCs w:val="28"/>
                <w:lang w:eastAsia="ja-JP"/>
              </w:rPr>
            </w:pPr>
          </w:p>
        </w:tc>
        <w:tc>
          <w:tcPr>
            <w:tcW w:w="2520" w:type="dxa"/>
            <w:tcBorders>
              <w:top w:val="nil"/>
              <w:left w:val="nil"/>
              <w:bottom w:val="nil"/>
              <w:right w:val="nil"/>
            </w:tcBorders>
            <w:vAlign w:val="center"/>
          </w:tcPr>
          <w:p w:rsidR="00B008B9" w:rsidRPr="00B33A07" w:rsidRDefault="00B008B9" w:rsidP="002E66D6">
            <w:pPr>
              <w:spacing w:after="0" w:line="360" w:lineRule="auto"/>
              <w:jc w:val="center"/>
              <w:rPr>
                <w:rFonts w:ascii="Times New Roman" w:eastAsia="MS Mincho" w:hAnsi="Times New Roman" w:cs="Times New Roman"/>
                <w:sz w:val="28"/>
                <w:szCs w:val="28"/>
                <w:lang w:eastAsia="ja-JP"/>
              </w:rPr>
            </w:pPr>
            <w:r w:rsidRPr="00B33A07">
              <w:rPr>
                <w:rFonts w:ascii="Times New Roman" w:eastAsia="MS Mincho" w:hAnsi="Times New Roman" w:cs="Times New Roman"/>
                <w:sz w:val="28"/>
                <w:szCs w:val="28"/>
                <w:lang w:eastAsia="ja-JP"/>
              </w:rPr>
              <w:t>16,46</w:t>
            </w:r>
          </w:p>
        </w:tc>
      </w:tr>
      <w:tr w:rsidR="00B008B9" w:rsidRPr="004212E5" w:rsidTr="004068CA">
        <w:trPr>
          <w:trHeight w:val="315"/>
        </w:trPr>
        <w:tc>
          <w:tcPr>
            <w:tcW w:w="4500" w:type="dxa"/>
            <w:tcBorders>
              <w:top w:val="nil"/>
              <w:left w:val="nil"/>
              <w:bottom w:val="nil"/>
              <w:right w:val="nil"/>
            </w:tcBorders>
            <w:shd w:val="clear" w:color="auto" w:fill="F2F2F2"/>
            <w:vAlign w:val="bottom"/>
          </w:tcPr>
          <w:p w:rsidR="00B008B9" w:rsidRPr="004212E5" w:rsidRDefault="00B008B9" w:rsidP="002E66D6">
            <w:pPr>
              <w:spacing w:after="0" w:line="360" w:lineRule="auto"/>
              <w:rPr>
                <w:rFonts w:ascii="Times New Roman" w:eastAsia="MS Mincho" w:hAnsi="Times New Roman" w:cs="Times New Roman"/>
                <w:sz w:val="28"/>
                <w:szCs w:val="28"/>
                <w:lang w:eastAsia="ja-JP"/>
              </w:rPr>
            </w:pPr>
            <w:r w:rsidRPr="004212E5">
              <w:rPr>
                <w:rFonts w:ascii="Times New Roman" w:eastAsia="MS Mincho" w:hAnsi="Times New Roman" w:cs="Times New Roman"/>
                <w:sz w:val="28"/>
                <w:szCs w:val="28"/>
                <w:lang w:eastAsia="ja-JP"/>
              </w:rPr>
              <w:t>Кошти місцевих бюджетів</w:t>
            </w:r>
          </w:p>
        </w:tc>
        <w:tc>
          <w:tcPr>
            <w:tcW w:w="2700" w:type="dxa"/>
            <w:tcBorders>
              <w:top w:val="nil"/>
              <w:left w:val="nil"/>
              <w:bottom w:val="nil"/>
              <w:right w:val="nil"/>
            </w:tcBorders>
            <w:shd w:val="clear" w:color="auto" w:fill="F2F2F2"/>
            <w:vAlign w:val="center"/>
          </w:tcPr>
          <w:p w:rsidR="00B008B9" w:rsidRPr="00B33A07" w:rsidRDefault="00B008B9" w:rsidP="002E66D6">
            <w:pPr>
              <w:spacing w:after="0" w:line="360" w:lineRule="auto"/>
              <w:jc w:val="center"/>
              <w:rPr>
                <w:rFonts w:ascii="Times New Roman" w:hAnsi="Times New Roman" w:cs="Times New Roman"/>
                <w:sz w:val="28"/>
                <w:szCs w:val="28"/>
                <w:lang w:val="ru-RU" w:eastAsia="ru-RU"/>
              </w:rPr>
            </w:pPr>
            <w:r w:rsidRPr="00B33A07">
              <w:rPr>
                <w:rFonts w:ascii="Times New Roman" w:hAnsi="Times New Roman" w:cs="Times New Roman"/>
                <w:sz w:val="28"/>
                <w:szCs w:val="28"/>
                <w:lang w:val="ru-RU" w:eastAsia="ru-RU"/>
              </w:rPr>
              <w:t>25056811,1</w:t>
            </w:r>
          </w:p>
        </w:tc>
        <w:tc>
          <w:tcPr>
            <w:tcW w:w="2520" w:type="dxa"/>
            <w:tcBorders>
              <w:top w:val="nil"/>
              <w:left w:val="nil"/>
              <w:bottom w:val="nil"/>
              <w:right w:val="nil"/>
            </w:tcBorders>
            <w:shd w:val="clear" w:color="auto" w:fill="F2F2F2"/>
            <w:vAlign w:val="center"/>
          </w:tcPr>
          <w:p w:rsidR="00B008B9" w:rsidRPr="00B33A07" w:rsidRDefault="00B008B9" w:rsidP="002E66D6">
            <w:pPr>
              <w:spacing w:after="0" w:line="360" w:lineRule="auto"/>
              <w:jc w:val="center"/>
              <w:rPr>
                <w:rFonts w:ascii="Times New Roman" w:eastAsia="MS Mincho" w:hAnsi="Times New Roman" w:cs="Times New Roman"/>
                <w:sz w:val="28"/>
                <w:szCs w:val="28"/>
                <w:lang w:eastAsia="ja-JP"/>
              </w:rPr>
            </w:pPr>
            <w:r w:rsidRPr="00B33A07">
              <w:rPr>
                <w:rFonts w:ascii="Times New Roman" w:eastAsia="MS Mincho" w:hAnsi="Times New Roman" w:cs="Times New Roman"/>
                <w:sz w:val="28"/>
                <w:szCs w:val="28"/>
                <w:lang w:eastAsia="ja-JP"/>
              </w:rPr>
              <w:t>22,43</w:t>
            </w:r>
          </w:p>
        </w:tc>
      </w:tr>
      <w:tr w:rsidR="00B008B9" w:rsidRPr="004212E5" w:rsidTr="00FF22ED">
        <w:trPr>
          <w:trHeight w:val="315"/>
        </w:trPr>
        <w:tc>
          <w:tcPr>
            <w:tcW w:w="4500" w:type="dxa"/>
            <w:tcBorders>
              <w:top w:val="nil"/>
              <w:left w:val="nil"/>
              <w:bottom w:val="nil"/>
              <w:right w:val="nil"/>
            </w:tcBorders>
            <w:vAlign w:val="bottom"/>
          </w:tcPr>
          <w:p w:rsidR="00B008B9" w:rsidRPr="004212E5" w:rsidRDefault="00B008B9" w:rsidP="002E66D6">
            <w:pPr>
              <w:spacing w:after="0" w:line="360" w:lineRule="auto"/>
              <w:rPr>
                <w:rFonts w:ascii="Times New Roman" w:eastAsia="MS Mincho" w:hAnsi="Times New Roman" w:cs="Times New Roman"/>
                <w:sz w:val="28"/>
                <w:szCs w:val="28"/>
                <w:lang w:eastAsia="ja-JP"/>
              </w:rPr>
            </w:pPr>
            <w:r w:rsidRPr="004212E5">
              <w:rPr>
                <w:rFonts w:ascii="Times New Roman" w:eastAsia="MS Mincho" w:hAnsi="Times New Roman" w:cs="Times New Roman"/>
                <w:sz w:val="28"/>
                <w:szCs w:val="28"/>
                <w:lang w:eastAsia="ja-JP"/>
              </w:rPr>
              <w:t>Кошти Національного банку України</w:t>
            </w:r>
          </w:p>
        </w:tc>
        <w:tc>
          <w:tcPr>
            <w:tcW w:w="2700" w:type="dxa"/>
            <w:tcBorders>
              <w:top w:val="nil"/>
              <w:left w:val="nil"/>
              <w:bottom w:val="nil"/>
              <w:right w:val="nil"/>
            </w:tcBorders>
            <w:vAlign w:val="center"/>
          </w:tcPr>
          <w:p w:rsidR="00B008B9" w:rsidRPr="00B33A07" w:rsidRDefault="00B008B9" w:rsidP="002E66D6">
            <w:pPr>
              <w:spacing w:after="0" w:line="360" w:lineRule="auto"/>
              <w:jc w:val="center"/>
              <w:rPr>
                <w:rFonts w:ascii="Times New Roman" w:hAnsi="Times New Roman" w:cs="Times New Roman"/>
                <w:sz w:val="28"/>
                <w:szCs w:val="28"/>
                <w:lang w:val="ru-RU" w:eastAsia="ru-RU"/>
              </w:rPr>
            </w:pPr>
            <w:r w:rsidRPr="00B33A07">
              <w:rPr>
                <w:rFonts w:ascii="Times New Roman" w:hAnsi="Times New Roman" w:cs="Times New Roman"/>
                <w:sz w:val="28"/>
                <w:szCs w:val="28"/>
                <w:lang w:val="ru-RU" w:eastAsia="ru-RU"/>
              </w:rPr>
              <w:t>1490267,1</w:t>
            </w:r>
          </w:p>
        </w:tc>
        <w:tc>
          <w:tcPr>
            <w:tcW w:w="2520" w:type="dxa"/>
            <w:tcBorders>
              <w:top w:val="nil"/>
              <w:left w:val="nil"/>
              <w:bottom w:val="nil"/>
              <w:right w:val="nil"/>
            </w:tcBorders>
            <w:vAlign w:val="center"/>
          </w:tcPr>
          <w:p w:rsidR="00B008B9" w:rsidRPr="00B33A07" w:rsidRDefault="00B008B9" w:rsidP="002E66D6">
            <w:pPr>
              <w:spacing w:after="0" w:line="360" w:lineRule="auto"/>
              <w:jc w:val="center"/>
              <w:rPr>
                <w:rFonts w:ascii="Times New Roman" w:eastAsia="MS Mincho" w:hAnsi="Times New Roman" w:cs="Times New Roman"/>
                <w:sz w:val="28"/>
                <w:szCs w:val="28"/>
                <w:lang w:eastAsia="ja-JP"/>
              </w:rPr>
            </w:pPr>
            <w:r w:rsidRPr="00B33A07">
              <w:rPr>
                <w:rFonts w:ascii="Times New Roman" w:eastAsia="MS Mincho" w:hAnsi="Times New Roman" w:cs="Times New Roman"/>
                <w:sz w:val="28"/>
                <w:szCs w:val="28"/>
                <w:lang w:eastAsia="ja-JP"/>
              </w:rPr>
              <w:t>1,33</w:t>
            </w:r>
          </w:p>
        </w:tc>
      </w:tr>
      <w:tr w:rsidR="00B008B9" w:rsidRPr="004212E5" w:rsidTr="004068CA">
        <w:trPr>
          <w:trHeight w:val="630"/>
        </w:trPr>
        <w:tc>
          <w:tcPr>
            <w:tcW w:w="4500" w:type="dxa"/>
            <w:tcBorders>
              <w:top w:val="nil"/>
              <w:left w:val="nil"/>
              <w:bottom w:val="nil"/>
              <w:right w:val="nil"/>
            </w:tcBorders>
            <w:shd w:val="clear" w:color="auto" w:fill="F2F2F2"/>
            <w:vAlign w:val="bottom"/>
          </w:tcPr>
          <w:p w:rsidR="00B008B9" w:rsidRPr="004212E5" w:rsidRDefault="00B008B9" w:rsidP="002E66D6">
            <w:pPr>
              <w:spacing w:after="0" w:line="360" w:lineRule="auto"/>
              <w:rPr>
                <w:rFonts w:ascii="Times New Roman" w:eastAsia="MS Mincho" w:hAnsi="Times New Roman"/>
                <w:sz w:val="28"/>
                <w:szCs w:val="28"/>
                <w:lang w:val="ru-RU" w:eastAsia="ja-JP"/>
              </w:rPr>
            </w:pPr>
            <w:r w:rsidRPr="00836A4A">
              <w:rPr>
                <w:rFonts w:ascii="Times New Roman" w:eastAsia="MS Mincho" w:hAnsi="Times New Roman" w:cs="Times New Roman"/>
                <w:sz w:val="28"/>
                <w:szCs w:val="28"/>
                <w:lang w:eastAsia="ja-JP"/>
              </w:rPr>
              <w:t>Кошти державних цільових фондів, державних та місцевих фондів</w:t>
            </w:r>
            <w:r w:rsidRPr="00836A4A">
              <w:rPr>
                <w:rFonts w:ascii="Times New Roman" w:eastAsia="MS Mincho" w:hAnsi="Times New Roman" w:cs="Times New Roman"/>
                <w:sz w:val="28"/>
                <w:szCs w:val="28"/>
                <w:lang w:val="ru-RU" w:eastAsia="ja-JP"/>
              </w:rPr>
              <w:t xml:space="preserve">, </w:t>
            </w:r>
            <w:r w:rsidRPr="00836A4A">
              <w:rPr>
                <w:rFonts w:ascii="Times New Roman" w:eastAsia="MS Mincho" w:hAnsi="Times New Roman" w:cs="Times New Roman"/>
                <w:sz w:val="28"/>
                <w:szCs w:val="28"/>
                <w:lang w:eastAsia="ja-JP"/>
              </w:rPr>
              <w:t>Кошти державних кредитних ресурсів</w:t>
            </w:r>
          </w:p>
        </w:tc>
        <w:tc>
          <w:tcPr>
            <w:tcW w:w="2700" w:type="dxa"/>
            <w:tcBorders>
              <w:top w:val="nil"/>
              <w:left w:val="nil"/>
              <w:bottom w:val="nil"/>
              <w:right w:val="nil"/>
            </w:tcBorders>
            <w:shd w:val="clear" w:color="auto" w:fill="F2F2F2"/>
            <w:vAlign w:val="center"/>
          </w:tcPr>
          <w:p w:rsidR="00B008B9" w:rsidRPr="00B33A07" w:rsidRDefault="00B008B9" w:rsidP="002E66D6">
            <w:pPr>
              <w:spacing w:after="0" w:line="360" w:lineRule="auto"/>
              <w:jc w:val="center"/>
              <w:rPr>
                <w:rFonts w:ascii="Times New Roman" w:hAnsi="Times New Roman" w:cs="Times New Roman"/>
                <w:sz w:val="28"/>
                <w:szCs w:val="28"/>
                <w:lang w:val="ru-RU" w:eastAsia="ru-RU"/>
              </w:rPr>
            </w:pPr>
            <w:r w:rsidRPr="00B33A07">
              <w:rPr>
                <w:rFonts w:ascii="Times New Roman" w:hAnsi="Times New Roman" w:cs="Times New Roman"/>
                <w:sz w:val="28"/>
                <w:szCs w:val="28"/>
                <w:lang w:val="ru-RU" w:eastAsia="ru-RU"/>
              </w:rPr>
              <w:t>464516,1</w:t>
            </w:r>
          </w:p>
        </w:tc>
        <w:tc>
          <w:tcPr>
            <w:tcW w:w="2520" w:type="dxa"/>
            <w:tcBorders>
              <w:top w:val="nil"/>
              <w:left w:val="nil"/>
              <w:bottom w:val="nil"/>
              <w:right w:val="nil"/>
            </w:tcBorders>
            <w:shd w:val="clear" w:color="auto" w:fill="F2F2F2"/>
            <w:vAlign w:val="center"/>
          </w:tcPr>
          <w:p w:rsidR="00B008B9" w:rsidRPr="00B33A07" w:rsidRDefault="00B008B9" w:rsidP="002E66D6">
            <w:pPr>
              <w:spacing w:after="0" w:line="360" w:lineRule="auto"/>
              <w:jc w:val="center"/>
              <w:rPr>
                <w:rFonts w:ascii="Times New Roman" w:eastAsia="MS Mincho" w:hAnsi="Times New Roman"/>
                <w:sz w:val="28"/>
                <w:szCs w:val="28"/>
                <w:lang w:val="ru-RU" w:eastAsia="ja-JP"/>
              </w:rPr>
            </w:pPr>
            <w:r w:rsidRPr="00B33A07">
              <w:rPr>
                <w:rFonts w:ascii="Times New Roman" w:eastAsia="MS Mincho" w:hAnsi="Times New Roman" w:cs="Times New Roman"/>
                <w:sz w:val="28"/>
                <w:szCs w:val="28"/>
                <w:lang w:eastAsia="ja-JP"/>
              </w:rPr>
              <w:t>0,0</w:t>
            </w:r>
            <w:r w:rsidRPr="00B33A07">
              <w:rPr>
                <w:rFonts w:ascii="Times New Roman" w:eastAsia="MS Mincho" w:hAnsi="Times New Roman" w:cs="Times New Roman"/>
                <w:sz w:val="28"/>
                <w:szCs w:val="28"/>
                <w:lang w:val="ru-RU" w:eastAsia="ja-JP"/>
              </w:rPr>
              <w:t>6</w:t>
            </w:r>
          </w:p>
        </w:tc>
      </w:tr>
      <w:tr w:rsidR="00B008B9" w:rsidRPr="004212E5" w:rsidTr="00FF22ED">
        <w:trPr>
          <w:trHeight w:val="315"/>
        </w:trPr>
        <w:tc>
          <w:tcPr>
            <w:tcW w:w="4500" w:type="dxa"/>
            <w:tcBorders>
              <w:top w:val="nil"/>
              <w:left w:val="nil"/>
              <w:bottom w:val="nil"/>
              <w:right w:val="nil"/>
            </w:tcBorders>
            <w:vAlign w:val="bottom"/>
          </w:tcPr>
          <w:p w:rsidR="00B008B9" w:rsidRPr="004212E5" w:rsidRDefault="00B008B9" w:rsidP="002E66D6">
            <w:pPr>
              <w:spacing w:after="0" w:line="360" w:lineRule="auto"/>
              <w:rPr>
                <w:rFonts w:ascii="Times New Roman" w:eastAsia="MS Mincho" w:hAnsi="Times New Roman" w:cs="Times New Roman"/>
                <w:sz w:val="28"/>
                <w:szCs w:val="28"/>
                <w:lang w:eastAsia="ja-JP"/>
              </w:rPr>
            </w:pPr>
            <w:r w:rsidRPr="004212E5">
              <w:rPr>
                <w:rFonts w:ascii="Times New Roman" w:eastAsia="MS Mincho" w:hAnsi="Times New Roman" w:cs="Times New Roman"/>
                <w:sz w:val="28"/>
                <w:szCs w:val="28"/>
                <w:lang w:eastAsia="ja-JP"/>
              </w:rPr>
              <w:t>Кошти Пенсійного фонду України</w:t>
            </w:r>
          </w:p>
        </w:tc>
        <w:tc>
          <w:tcPr>
            <w:tcW w:w="2700" w:type="dxa"/>
            <w:tcBorders>
              <w:top w:val="nil"/>
              <w:left w:val="nil"/>
              <w:bottom w:val="nil"/>
              <w:right w:val="nil"/>
            </w:tcBorders>
            <w:vAlign w:val="center"/>
          </w:tcPr>
          <w:p w:rsidR="00B008B9" w:rsidRPr="00B33A07" w:rsidRDefault="00B008B9" w:rsidP="002E66D6">
            <w:pPr>
              <w:spacing w:after="0" w:line="360" w:lineRule="auto"/>
              <w:jc w:val="center"/>
              <w:rPr>
                <w:rFonts w:ascii="Times New Roman" w:hAnsi="Times New Roman" w:cs="Times New Roman"/>
                <w:sz w:val="28"/>
                <w:szCs w:val="28"/>
                <w:lang w:val="ru-RU" w:eastAsia="ru-RU"/>
              </w:rPr>
            </w:pPr>
            <w:r w:rsidRPr="00B33A07">
              <w:rPr>
                <w:rFonts w:ascii="Times New Roman" w:hAnsi="Times New Roman" w:cs="Times New Roman"/>
                <w:sz w:val="28"/>
                <w:szCs w:val="28"/>
                <w:lang w:val="ru-RU" w:eastAsia="ru-RU"/>
              </w:rPr>
              <w:t>560880,8</w:t>
            </w:r>
          </w:p>
        </w:tc>
        <w:tc>
          <w:tcPr>
            <w:tcW w:w="2520" w:type="dxa"/>
            <w:tcBorders>
              <w:top w:val="nil"/>
              <w:left w:val="nil"/>
              <w:bottom w:val="nil"/>
              <w:right w:val="nil"/>
            </w:tcBorders>
            <w:vAlign w:val="center"/>
          </w:tcPr>
          <w:p w:rsidR="00B008B9" w:rsidRPr="00B33A07" w:rsidRDefault="00B008B9" w:rsidP="002E66D6">
            <w:pPr>
              <w:spacing w:after="0" w:line="360" w:lineRule="auto"/>
              <w:jc w:val="center"/>
              <w:rPr>
                <w:rFonts w:ascii="Times New Roman" w:eastAsia="MS Mincho" w:hAnsi="Times New Roman" w:cs="Times New Roman"/>
                <w:sz w:val="28"/>
                <w:szCs w:val="28"/>
                <w:lang w:eastAsia="ja-JP"/>
              </w:rPr>
            </w:pPr>
            <w:r w:rsidRPr="00B33A07">
              <w:rPr>
                <w:rFonts w:ascii="Times New Roman" w:eastAsia="MS Mincho" w:hAnsi="Times New Roman" w:cs="Times New Roman"/>
                <w:sz w:val="28"/>
                <w:szCs w:val="28"/>
                <w:lang w:eastAsia="ja-JP"/>
              </w:rPr>
              <w:t>0,5</w:t>
            </w:r>
          </w:p>
        </w:tc>
      </w:tr>
      <w:tr w:rsidR="00B008B9" w:rsidRPr="004212E5" w:rsidTr="004068CA">
        <w:trPr>
          <w:trHeight w:val="914"/>
        </w:trPr>
        <w:tc>
          <w:tcPr>
            <w:tcW w:w="4500" w:type="dxa"/>
            <w:tcBorders>
              <w:top w:val="nil"/>
              <w:left w:val="nil"/>
              <w:bottom w:val="nil"/>
              <w:right w:val="nil"/>
            </w:tcBorders>
            <w:shd w:val="clear" w:color="auto" w:fill="F2F2F2"/>
            <w:vAlign w:val="bottom"/>
          </w:tcPr>
          <w:p w:rsidR="00B008B9" w:rsidRPr="004212E5" w:rsidRDefault="00B008B9" w:rsidP="002E66D6">
            <w:pPr>
              <w:spacing w:after="0" w:line="360" w:lineRule="auto"/>
              <w:rPr>
                <w:rFonts w:ascii="Times New Roman" w:eastAsia="MS Mincho" w:hAnsi="Times New Roman" w:cs="Times New Roman"/>
                <w:sz w:val="28"/>
                <w:szCs w:val="28"/>
                <w:lang w:eastAsia="ja-JP"/>
              </w:rPr>
            </w:pPr>
            <w:r w:rsidRPr="004212E5">
              <w:rPr>
                <w:rFonts w:ascii="Times New Roman" w:eastAsia="MS Mincho" w:hAnsi="Times New Roman" w:cs="Times New Roman"/>
                <w:sz w:val="28"/>
                <w:szCs w:val="28"/>
                <w:lang w:eastAsia="ja-JP"/>
              </w:rPr>
              <w:t>Кошти загальнообов’язкового державного соціального страхування, Фонду соціального захисту інвалідів</w:t>
            </w:r>
          </w:p>
        </w:tc>
        <w:tc>
          <w:tcPr>
            <w:tcW w:w="2700" w:type="dxa"/>
            <w:tcBorders>
              <w:top w:val="nil"/>
              <w:left w:val="nil"/>
              <w:bottom w:val="nil"/>
              <w:right w:val="nil"/>
            </w:tcBorders>
            <w:shd w:val="clear" w:color="auto" w:fill="F2F2F2"/>
            <w:vAlign w:val="center"/>
          </w:tcPr>
          <w:p w:rsidR="00B008B9" w:rsidRPr="00B33A07" w:rsidRDefault="00B008B9" w:rsidP="002E66D6">
            <w:pPr>
              <w:spacing w:after="0" w:line="360" w:lineRule="auto"/>
              <w:jc w:val="center"/>
              <w:rPr>
                <w:rFonts w:ascii="Times New Roman" w:hAnsi="Times New Roman" w:cs="Times New Roman"/>
                <w:sz w:val="28"/>
                <w:szCs w:val="28"/>
                <w:lang w:val="ru-RU" w:eastAsia="ru-RU"/>
              </w:rPr>
            </w:pPr>
            <w:r w:rsidRPr="00B33A07">
              <w:rPr>
                <w:rFonts w:ascii="Times New Roman" w:hAnsi="Times New Roman" w:cs="Times New Roman"/>
                <w:sz w:val="28"/>
                <w:szCs w:val="28"/>
                <w:lang w:val="ru-RU" w:eastAsia="ru-RU"/>
              </w:rPr>
              <w:t>404692,0</w:t>
            </w:r>
          </w:p>
        </w:tc>
        <w:tc>
          <w:tcPr>
            <w:tcW w:w="2520" w:type="dxa"/>
            <w:tcBorders>
              <w:top w:val="nil"/>
              <w:left w:val="nil"/>
              <w:bottom w:val="nil"/>
              <w:right w:val="nil"/>
            </w:tcBorders>
            <w:shd w:val="clear" w:color="auto" w:fill="F2F2F2"/>
            <w:vAlign w:val="center"/>
          </w:tcPr>
          <w:p w:rsidR="00B008B9" w:rsidRPr="00B33A07" w:rsidRDefault="00B008B9" w:rsidP="002E66D6">
            <w:pPr>
              <w:spacing w:after="0" w:line="360" w:lineRule="auto"/>
              <w:jc w:val="center"/>
              <w:rPr>
                <w:rFonts w:ascii="Times New Roman" w:eastAsia="MS Mincho" w:hAnsi="Times New Roman" w:cs="Times New Roman"/>
                <w:sz w:val="28"/>
                <w:szCs w:val="28"/>
                <w:lang w:eastAsia="ja-JP"/>
              </w:rPr>
            </w:pPr>
            <w:r w:rsidRPr="00B33A07">
              <w:rPr>
                <w:rFonts w:ascii="Times New Roman" w:eastAsia="MS Mincho" w:hAnsi="Times New Roman" w:cs="Times New Roman"/>
                <w:sz w:val="28"/>
                <w:szCs w:val="28"/>
                <w:lang w:eastAsia="ja-JP"/>
              </w:rPr>
              <w:t>0,36</w:t>
            </w:r>
          </w:p>
        </w:tc>
      </w:tr>
      <w:tr w:rsidR="00B008B9" w:rsidRPr="004212E5" w:rsidTr="00FF22ED">
        <w:trPr>
          <w:trHeight w:val="630"/>
        </w:trPr>
        <w:tc>
          <w:tcPr>
            <w:tcW w:w="4500" w:type="dxa"/>
            <w:tcBorders>
              <w:top w:val="nil"/>
              <w:left w:val="nil"/>
              <w:bottom w:val="nil"/>
              <w:right w:val="nil"/>
            </w:tcBorders>
            <w:vAlign w:val="bottom"/>
          </w:tcPr>
          <w:p w:rsidR="00B008B9" w:rsidRPr="004212E5" w:rsidRDefault="00B008B9" w:rsidP="002E66D6">
            <w:pPr>
              <w:spacing w:after="0" w:line="360" w:lineRule="auto"/>
              <w:rPr>
                <w:rFonts w:ascii="Times New Roman" w:eastAsia="MS Mincho" w:hAnsi="Times New Roman" w:cs="Times New Roman"/>
                <w:sz w:val="28"/>
                <w:szCs w:val="28"/>
                <w:lang w:eastAsia="ja-JP"/>
              </w:rPr>
            </w:pPr>
            <w:r w:rsidRPr="004212E5">
              <w:rPr>
                <w:rFonts w:ascii="Times New Roman" w:eastAsia="MS Mincho" w:hAnsi="Times New Roman" w:cs="Times New Roman"/>
                <w:sz w:val="28"/>
                <w:szCs w:val="28"/>
                <w:lang w:eastAsia="ja-JP"/>
              </w:rPr>
              <w:t>Кошти державних, казенних, комунальних підприємств</w:t>
            </w:r>
          </w:p>
        </w:tc>
        <w:tc>
          <w:tcPr>
            <w:tcW w:w="2700" w:type="dxa"/>
            <w:tcBorders>
              <w:top w:val="nil"/>
              <w:left w:val="nil"/>
              <w:bottom w:val="nil"/>
              <w:right w:val="nil"/>
            </w:tcBorders>
            <w:vAlign w:val="center"/>
          </w:tcPr>
          <w:p w:rsidR="00B008B9" w:rsidRPr="00B33A07" w:rsidRDefault="00B008B9" w:rsidP="002E66D6">
            <w:pPr>
              <w:spacing w:after="0" w:line="360" w:lineRule="auto"/>
              <w:jc w:val="center"/>
              <w:rPr>
                <w:rFonts w:ascii="Times New Roman" w:hAnsi="Times New Roman" w:cs="Times New Roman"/>
                <w:sz w:val="28"/>
                <w:szCs w:val="28"/>
                <w:lang w:val="ru-RU" w:eastAsia="ru-RU"/>
              </w:rPr>
            </w:pPr>
            <w:r w:rsidRPr="00B33A07">
              <w:rPr>
                <w:rFonts w:ascii="Times New Roman" w:hAnsi="Times New Roman" w:cs="Times New Roman"/>
                <w:sz w:val="28"/>
                <w:szCs w:val="28"/>
                <w:lang w:val="ru-RU" w:eastAsia="ru-RU"/>
              </w:rPr>
              <w:t>50543687,0</w:t>
            </w:r>
          </w:p>
        </w:tc>
        <w:tc>
          <w:tcPr>
            <w:tcW w:w="2520" w:type="dxa"/>
            <w:tcBorders>
              <w:top w:val="nil"/>
              <w:left w:val="nil"/>
              <w:bottom w:val="nil"/>
              <w:right w:val="nil"/>
            </w:tcBorders>
            <w:vAlign w:val="center"/>
          </w:tcPr>
          <w:p w:rsidR="00B008B9" w:rsidRPr="00B33A07" w:rsidRDefault="00B008B9" w:rsidP="002E66D6">
            <w:pPr>
              <w:spacing w:after="0" w:line="360" w:lineRule="auto"/>
              <w:jc w:val="center"/>
              <w:rPr>
                <w:rFonts w:ascii="Times New Roman" w:eastAsia="MS Mincho" w:hAnsi="Times New Roman" w:cs="Times New Roman"/>
                <w:sz w:val="28"/>
                <w:szCs w:val="28"/>
                <w:lang w:eastAsia="ja-JP"/>
              </w:rPr>
            </w:pPr>
            <w:r w:rsidRPr="00B33A07">
              <w:rPr>
                <w:rFonts w:ascii="Times New Roman" w:eastAsia="MS Mincho" w:hAnsi="Times New Roman" w:cs="Times New Roman"/>
                <w:sz w:val="28"/>
                <w:szCs w:val="28"/>
                <w:lang w:eastAsia="ja-JP"/>
              </w:rPr>
              <w:t>45,25</w:t>
            </w:r>
          </w:p>
        </w:tc>
      </w:tr>
      <w:tr w:rsidR="00B008B9" w:rsidRPr="004212E5" w:rsidTr="004068CA">
        <w:trPr>
          <w:trHeight w:val="945"/>
        </w:trPr>
        <w:tc>
          <w:tcPr>
            <w:tcW w:w="4500" w:type="dxa"/>
            <w:tcBorders>
              <w:top w:val="nil"/>
              <w:left w:val="nil"/>
              <w:bottom w:val="single" w:sz="4" w:space="0" w:color="auto"/>
              <w:right w:val="nil"/>
            </w:tcBorders>
            <w:shd w:val="clear" w:color="auto" w:fill="F2F2F2"/>
            <w:vAlign w:val="bottom"/>
          </w:tcPr>
          <w:p w:rsidR="00B008B9" w:rsidRPr="004212E5" w:rsidRDefault="00B008B9" w:rsidP="002E66D6">
            <w:pPr>
              <w:spacing w:after="0" w:line="360" w:lineRule="auto"/>
              <w:rPr>
                <w:rFonts w:ascii="Times New Roman" w:eastAsia="MS Mincho" w:hAnsi="Times New Roman" w:cs="Times New Roman"/>
                <w:sz w:val="28"/>
                <w:szCs w:val="28"/>
                <w:lang w:eastAsia="ja-JP"/>
              </w:rPr>
            </w:pPr>
            <w:r w:rsidRPr="004212E5">
              <w:rPr>
                <w:rFonts w:ascii="Times New Roman" w:eastAsia="MS Mincho" w:hAnsi="Times New Roman" w:cs="Times New Roman"/>
                <w:sz w:val="28"/>
                <w:szCs w:val="28"/>
                <w:lang w:eastAsia="ja-JP"/>
              </w:rPr>
              <w:t>Кошти господарських товариств, в яких державна або комунальна частка акцій перевищує 50 відсотків</w:t>
            </w:r>
          </w:p>
        </w:tc>
        <w:tc>
          <w:tcPr>
            <w:tcW w:w="2700" w:type="dxa"/>
            <w:tcBorders>
              <w:top w:val="nil"/>
              <w:left w:val="nil"/>
              <w:bottom w:val="single" w:sz="4" w:space="0" w:color="auto"/>
              <w:right w:val="nil"/>
            </w:tcBorders>
            <w:shd w:val="clear" w:color="auto" w:fill="F2F2F2"/>
            <w:vAlign w:val="center"/>
          </w:tcPr>
          <w:p w:rsidR="00B008B9" w:rsidRPr="00B33A07" w:rsidRDefault="00B008B9" w:rsidP="002E66D6">
            <w:pPr>
              <w:spacing w:after="0" w:line="360" w:lineRule="auto"/>
              <w:jc w:val="center"/>
              <w:rPr>
                <w:rFonts w:ascii="Times New Roman" w:hAnsi="Times New Roman" w:cs="Times New Roman"/>
                <w:sz w:val="28"/>
                <w:szCs w:val="28"/>
                <w:lang w:val="ru-RU" w:eastAsia="ru-RU"/>
              </w:rPr>
            </w:pPr>
            <w:r w:rsidRPr="00B33A07">
              <w:rPr>
                <w:rFonts w:ascii="Times New Roman" w:hAnsi="Times New Roman" w:cs="Times New Roman"/>
                <w:sz w:val="28"/>
                <w:szCs w:val="28"/>
                <w:lang w:val="ru-RU" w:eastAsia="ru-RU"/>
              </w:rPr>
              <w:t>15179641,1</w:t>
            </w:r>
          </w:p>
        </w:tc>
        <w:tc>
          <w:tcPr>
            <w:tcW w:w="2520" w:type="dxa"/>
            <w:tcBorders>
              <w:top w:val="nil"/>
              <w:left w:val="nil"/>
              <w:bottom w:val="single" w:sz="4" w:space="0" w:color="auto"/>
              <w:right w:val="nil"/>
            </w:tcBorders>
            <w:shd w:val="clear" w:color="auto" w:fill="F2F2F2"/>
            <w:vAlign w:val="center"/>
          </w:tcPr>
          <w:p w:rsidR="00B008B9" w:rsidRPr="00B33A07" w:rsidRDefault="00B008B9" w:rsidP="002E66D6">
            <w:pPr>
              <w:spacing w:after="0" w:line="360" w:lineRule="auto"/>
              <w:jc w:val="center"/>
              <w:rPr>
                <w:rFonts w:ascii="Times New Roman" w:eastAsia="MS Mincho" w:hAnsi="Times New Roman" w:cs="Times New Roman"/>
                <w:sz w:val="28"/>
                <w:szCs w:val="28"/>
                <w:lang w:eastAsia="ja-JP"/>
              </w:rPr>
            </w:pPr>
            <w:r w:rsidRPr="00B33A07">
              <w:rPr>
                <w:rFonts w:ascii="Times New Roman" w:eastAsia="MS Mincho" w:hAnsi="Times New Roman" w:cs="Times New Roman"/>
                <w:sz w:val="28"/>
                <w:szCs w:val="28"/>
                <w:lang w:eastAsia="ja-JP"/>
              </w:rPr>
              <w:t>13,59</w:t>
            </w:r>
          </w:p>
        </w:tc>
      </w:tr>
      <w:tr w:rsidR="00B008B9" w:rsidRPr="004212E5" w:rsidTr="004068CA">
        <w:trPr>
          <w:trHeight w:val="315"/>
        </w:trPr>
        <w:tc>
          <w:tcPr>
            <w:tcW w:w="4500" w:type="dxa"/>
            <w:tcBorders>
              <w:top w:val="single" w:sz="4" w:space="0" w:color="auto"/>
              <w:left w:val="nil"/>
              <w:bottom w:val="nil"/>
              <w:right w:val="nil"/>
            </w:tcBorders>
            <w:shd w:val="clear" w:color="auto" w:fill="002060"/>
            <w:vAlign w:val="bottom"/>
          </w:tcPr>
          <w:p w:rsidR="00B008B9" w:rsidRPr="004212E5" w:rsidRDefault="00B008B9" w:rsidP="002E66D6">
            <w:pPr>
              <w:spacing w:after="0" w:line="360" w:lineRule="auto"/>
              <w:rPr>
                <w:rFonts w:ascii="Times New Roman" w:eastAsia="MS Mincho" w:hAnsi="Times New Roman" w:cs="Times New Roman"/>
                <w:sz w:val="28"/>
                <w:szCs w:val="28"/>
                <w:lang w:eastAsia="ja-JP"/>
              </w:rPr>
            </w:pPr>
            <w:r w:rsidRPr="004212E5">
              <w:rPr>
                <w:rFonts w:ascii="Times New Roman" w:eastAsia="MS Mincho" w:hAnsi="Times New Roman" w:cs="Times New Roman"/>
                <w:sz w:val="28"/>
                <w:szCs w:val="28"/>
                <w:lang w:eastAsia="ja-JP"/>
              </w:rPr>
              <w:t>Всього</w:t>
            </w:r>
          </w:p>
        </w:tc>
        <w:tc>
          <w:tcPr>
            <w:tcW w:w="2700" w:type="dxa"/>
            <w:tcBorders>
              <w:top w:val="single" w:sz="4" w:space="0" w:color="auto"/>
              <w:left w:val="nil"/>
              <w:bottom w:val="nil"/>
              <w:right w:val="nil"/>
            </w:tcBorders>
            <w:shd w:val="clear" w:color="auto" w:fill="002060"/>
            <w:vAlign w:val="center"/>
          </w:tcPr>
          <w:p w:rsidR="00B008B9" w:rsidRPr="00B33A07" w:rsidRDefault="00B008B9" w:rsidP="002E66D6">
            <w:pPr>
              <w:spacing w:after="0" w:line="360" w:lineRule="auto"/>
              <w:jc w:val="center"/>
              <w:rPr>
                <w:rFonts w:ascii="Times New Roman" w:eastAsia="MS Mincho" w:hAnsi="Times New Roman" w:cs="Times New Roman"/>
                <w:sz w:val="28"/>
                <w:szCs w:val="28"/>
                <w:lang w:eastAsia="ja-JP"/>
              </w:rPr>
            </w:pPr>
            <w:r w:rsidRPr="00B33A07">
              <w:rPr>
                <w:rFonts w:ascii="Times New Roman" w:hAnsi="Times New Roman" w:cs="Times New Roman"/>
                <w:sz w:val="28"/>
                <w:szCs w:val="28"/>
                <w:lang w:val="ru-RU" w:eastAsia="ru-RU"/>
              </w:rPr>
              <w:t>111689358,6</w:t>
            </w:r>
            <w:r w:rsidRPr="00B33A07">
              <w:rPr>
                <w:rFonts w:ascii="Times New Roman" w:eastAsia="MS Mincho" w:hAnsi="Times New Roman" w:cs="Times New Roman"/>
                <w:sz w:val="28"/>
                <w:szCs w:val="28"/>
                <w:lang w:eastAsia="ja-JP"/>
              </w:rPr>
              <w:t>4</w:t>
            </w:r>
          </w:p>
        </w:tc>
        <w:tc>
          <w:tcPr>
            <w:tcW w:w="2520" w:type="dxa"/>
            <w:tcBorders>
              <w:top w:val="single" w:sz="4" w:space="0" w:color="auto"/>
              <w:left w:val="nil"/>
              <w:bottom w:val="nil"/>
              <w:right w:val="nil"/>
            </w:tcBorders>
            <w:shd w:val="clear" w:color="auto" w:fill="002060"/>
            <w:vAlign w:val="center"/>
          </w:tcPr>
          <w:p w:rsidR="00B008B9" w:rsidRPr="00B33A07" w:rsidRDefault="00B008B9" w:rsidP="002E66D6">
            <w:pPr>
              <w:spacing w:after="0" w:line="360" w:lineRule="auto"/>
              <w:jc w:val="center"/>
              <w:rPr>
                <w:rFonts w:ascii="Times New Roman" w:eastAsia="MS Mincho" w:hAnsi="Times New Roman" w:cs="Times New Roman"/>
                <w:sz w:val="28"/>
                <w:szCs w:val="28"/>
                <w:lang w:eastAsia="ja-JP"/>
              </w:rPr>
            </w:pPr>
            <w:r w:rsidRPr="00B33A07">
              <w:rPr>
                <w:rFonts w:ascii="Times New Roman" w:eastAsia="MS Mincho" w:hAnsi="Times New Roman" w:cs="Times New Roman"/>
                <w:sz w:val="28"/>
                <w:szCs w:val="28"/>
                <w:lang w:eastAsia="ja-JP"/>
              </w:rPr>
              <w:t>100</w:t>
            </w:r>
          </w:p>
        </w:tc>
      </w:tr>
    </w:tbl>
    <w:p w:rsidR="00B008B9" w:rsidRPr="002028D9" w:rsidRDefault="00B008B9" w:rsidP="002E66D6">
      <w:pPr>
        <w:spacing w:after="0" w:line="360" w:lineRule="auto"/>
        <w:jc w:val="center"/>
        <w:outlineLvl w:val="0"/>
        <w:rPr>
          <w:rFonts w:ascii="Times New Roman" w:hAnsi="Times New Roman" w:cs="Times New Roman"/>
          <w:b/>
          <w:bCs/>
          <w:sz w:val="28"/>
          <w:szCs w:val="28"/>
          <w:lang w:eastAsia="uk-UA"/>
        </w:rPr>
      </w:pPr>
      <w:r w:rsidRPr="002028D9">
        <w:rPr>
          <w:rFonts w:ascii="Times New Roman" w:hAnsi="Times New Roman" w:cs="Times New Roman"/>
          <w:b/>
          <w:bCs/>
          <w:sz w:val="28"/>
          <w:szCs w:val="28"/>
          <w:lang w:eastAsia="uk-UA"/>
        </w:rPr>
        <w:t>Діяльність контролюючих органів</w:t>
      </w:r>
    </w:p>
    <w:p w:rsidR="00B008B9" w:rsidRPr="002028D9" w:rsidRDefault="00B008B9" w:rsidP="002E66D6">
      <w:pPr>
        <w:spacing w:after="120" w:line="360" w:lineRule="auto"/>
        <w:jc w:val="center"/>
        <w:rPr>
          <w:rFonts w:ascii="Times New Roman" w:hAnsi="Times New Roman" w:cs="Times New Roman"/>
          <w:b/>
          <w:bCs/>
          <w:sz w:val="28"/>
          <w:szCs w:val="28"/>
          <w:lang w:eastAsia="uk-UA"/>
        </w:rPr>
      </w:pPr>
      <w:r w:rsidRPr="002028D9">
        <w:rPr>
          <w:rFonts w:ascii="Times New Roman" w:hAnsi="Times New Roman" w:cs="Times New Roman"/>
          <w:b/>
          <w:bCs/>
          <w:sz w:val="28"/>
          <w:szCs w:val="28"/>
          <w:lang w:eastAsia="uk-UA"/>
        </w:rPr>
        <w:t>щодо виявлення порушень у сфері державних закупівель</w:t>
      </w:r>
    </w:p>
    <w:p w:rsidR="00B008B9" w:rsidRPr="004212E5" w:rsidRDefault="00B008B9" w:rsidP="002E66D6">
      <w:pPr>
        <w:pStyle w:val="21"/>
        <w:spacing w:line="360" w:lineRule="auto"/>
        <w:ind w:left="0" w:firstLine="708"/>
        <w:rPr>
          <w:rFonts w:ascii="Times New Roman" w:hAnsi="Times New Roman" w:cs="Times New Roman"/>
          <w:sz w:val="28"/>
          <w:szCs w:val="28"/>
          <w:lang w:val="uk-UA"/>
        </w:rPr>
      </w:pPr>
      <w:r w:rsidRPr="004212E5">
        <w:rPr>
          <w:rFonts w:ascii="Times New Roman" w:hAnsi="Times New Roman" w:cs="Times New Roman"/>
          <w:sz w:val="28"/>
          <w:szCs w:val="28"/>
          <w:lang w:val="uk-UA"/>
        </w:rPr>
        <w:t xml:space="preserve">Протягом </w:t>
      </w:r>
      <w:r>
        <w:rPr>
          <w:rFonts w:ascii="Times New Roman" w:hAnsi="Times New Roman" w:cs="Times New Roman"/>
          <w:sz w:val="28"/>
          <w:szCs w:val="28"/>
          <w:lang w:val="uk-UA"/>
        </w:rPr>
        <w:t xml:space="preserve"> </w:t>
      </w:r>
      <w:r w:rsidRPr="004212E5">
        <w:rPr>
          <w:rFonts w:ascii="Times New Roman" w:hAnsi="Times New Roman" w:cs="Times New Roman"/>
          <w:sz w:val="28"/>
          <w:szCs w:val="28"/>
          <w:lang w:val="uk-UA"/>
        </w:rPr>
        <w:t>2015 року органами</w:t>
      </w:r>
      <w:r>
        <w:rPr>
          <w:rFonts w:ascii="Times New Roman" w:hAnsi="Times New Roman" w:cs="Times New Roman"/>
          <w:sz w:val="28"/>
          <w:szCs w:val="28"/>
          <w:lang w:val="uk-UA"/>
        </w:rPr>
        <w:t xml:space="preserve"> </w:t>
      </w:r>
      <w:r w:rsidRPr="004212E5">
        <w:rPr>
          <w:rFonts w:ascii="Times New Roman" w:hAnsi="Times New Roman" w:cs="Times New Roman"/>
          <w:sz w:val="28"/>
          <w:szCs w:val="28"/>
          <w:lang w:val="uk-UA"/>
        </w:rPr>
        <w:t xml:space="preserve"> Казначейства надано 306 попереджень про неналежне виконання бюджетного законодавства щодо взяття та/або реєстрації бюджетних зобов'язань (бюджетних фінансових зобов'язань) в частині виявлених порушень вимог у сфері закупівель (далі - попередження) на загальну суму 390 154 882,84 грн, з них: по коштах Державного бюджету України 81 попередження на загальну суму 112 907 162,97 грн, по коштах місцевих бюджетів – 225 попереджень на загальну суму 277 247 719,87 гривень.</w:t>
      </w:r>
    </w:p>
    <w:p w:rsidR="00B008B9" w:rsidRPr="004212E5" w:rsidRDefault="00B008B9" w:rsidP="002E66D6">
      <w:pPr>
        <w:spacing w:line="360" w:lineRule="auto"/>
        <w:ind w:firstLine="709"/>
        <w:jc w:val="both"/>
        <w:rPr>
          <w:rFonts w:ascii="Times New Roman" w:hAnsi="Times New Roman" w:cs="Times New Roman"/>
          <w:sz w:val="28"/>
          <w:szCs w:val="28"/>
        </w:rPr>
      </w:pPr>
      <w:r w:rsidRPr="004212E5">
        <w:rPr>
          <w:rFonts w:ascii="Times New Roman" w:hAnsi="Times New Roman" w:cs="Times New Roman"/>
          <w:sz w:val="28"/>
          <w:szCs w:val="28"/>
        </w:rPr>
        <w:t xml:space="preserve">Серед основних порушень, які виявлено органами Казначейства слід відмітити: </w:t>
      </w:r>
    </w:p>
    <w:p w:rsidR="00B008B9" w:rsidRPr="004212E5" w:rsidRDefault="00B008B9" w:rsidP="002E66D6">
      <w:pPr>
        <w:pStyle w:val="21"/>
        <w:numPr>
          <w:ilvl w:val="0"/>
          <w:numId w:val="6"/>
        </w:numPr>
        <w:tabs>
          <w:tab w:val="clear" w:pos="1080"/>
          <w:tab w:val="num" w:pos="0"/>
        </w:tabs>
        <w:spacing w:line="360" w:lineRule="auto"/>
        <w:ind w:left="0" w:firstLine="720"/>
        <w:rPr>
          <w:rFonts w:ascii="Times New Roman" w:hAnsi="Times New Roman" w:cs="Times New Roman"/>
          <w:sz w:val="28"/>
          <w:szCs w:val="28"/>
          <w:lang w:val="uk-UA"/>
        </w:rPr>
      </w:pPr>
      <w:r w:rsidRPr="004212E5">
        <w:rPr>
          <w:rFonts w:ascii="Times New Roman" w:hAnsi="Times New Roman" w:cs="Times New Roman"/>
          <w:sz w:val="28"/>
          <w:szCs w:val="28"/>
          <w:lang w:val="uk-UA"/>
        </w:rPr>
        <w:t>відсутність документів, передбачених Законом, або їх невідповідність встановленим законодавством вимогам щодо оформлення (67 попереджень на суму 70 519 236,15 грн);</w:t>
      </w:r>
    </w:p>
    <w:p w:rsidR="00B008B9" w:rsidRPr="004212E5" w:rsidRDefault="00B008B9" w:rsidP="002E66D6">
      <w:pPr>
        <w:pStyle w:val="21"/>
        <w:numPr>
          <w:ilvl w:val="0"/>
          <w:numId w:val="6"/>
        </w:numPr>
        <w:tabs>
          <w:tab w:val="clear" w:pos="1080"/>
          <w:tab w:val="num" w:pos="0"/>
        </w:tabs>
        <w:spacing w:line="360" w:lineRule="auto"/>
        <w:ind w:left="0" w:firstLine="720"/>
        <w:rPr>
          <w:rFonts w:ascii="Times New Roman" w:hAnsi="Times New Roman" w:cs="Times New Roman"/>
          <w:sz w:val="28"/>
          <w:szCs w:val="28"/>
          <w:lang w:val="uk-UA"/>
        </w:rPr>
      </w:pPr>
      <w:r w:rsidRPr="004212E5">
        <w:rPr>
          <w:rFonts w:ascii="Times New Roman" w:hAnsi="Times New Roman" w:cs="Times New Roman"/>
          <w:sz w:val="28"/>
          <w:szCs w:val="28"/>
          <w:lang w:val="uk-UA"/>
        </w:rPr>
        <w:t>не оприлюднення або порушення порядку оприлюднення інформації щодо закупівлі товарів, робіт і послуг за державні кошти відповідно до вимог законодавства 59 попереджень на суму 98 477 387,76 грн);</w:t>
      </w:r>
    </w:p>
    <w:p w:rsidR="00B008B9" w:rsidRPr="004212E5" w:rsidRDefault="00B008B9" w:rsidP="002E66D6">
      <w:pPr>
        <w:pStyle w:val="21"/>
        <w:numPr>
          <w:ilvl w:val="0"/>
          <w:numId w:val="6"/>
        </w:numPr>
        <w:tabs>
          <w:tab w:val="clear" w:pos="1080"/>
          <w:tab w:val="num" w:pos="0"/>
        </w:tabs>
        <w:spacing w:line="360" w:lineRule="auto"/>
        <w:ind w:left="0" w:firstLine="720"/>
        <w:rPr>
          <w:rFonts w:ascii="Times New Roman" w:hAnsi="Times New Roman" w:cs="Times New Roman"/>
          <w:sz w:val="28"/>
          <w:szCs w:val="28"/>
          <w:lang w:val="uk-UA"/>
        </w:rPr>
      </w:pPr>
      <w:r w:rsidRPr="004212E5">
        <w:rPr>
          <w:rFonts w:ascii="Times New Roman" w:hAnsi="Times New Roman" w:cs="Times New Roman"/>
          <w:sz w:val="28"/>
          <w:szCs w:val="28"/>
          <w:lang w:val="uk-UA"/>
        </w:rPr>
        <w:t>невідповідність укладеного договору про закупівлю звіту про результати проведення процедури закупівлі та річному плану закупівель (32 попереджень на суму 78 268 231,64 грн);</w:t>
      </w:r>
    </w:p>
    <w:p w:rsidR="00B008B9" w:rsidRPr="004212E5" w:rsidRDefault="00B008B9" w:rsidP="002E66D6">
      <w:pPr>
        <w:pStyle w:val="21"/>
        <w:numPr>
          <w:ilvl w:val="0"/>
          <w:numId w:val="6"/>
        </w:numPr>
        <w:tabs>
          <w:tab w:val="clear" w:pos="1080"/>
          <w:tab w:val="num" w:pos="0"/>
        </w:tabs>
        <w:spacing w:line="360" w:lineRule="auto"/>
        <w:ind w:left="0" w:firstLine="720"/>
        <w:rPr>
          <w:rFonts w:ascii="Times New Roman" w:hAnsi="Times New Roman" w:cs="Times New Roman"/>
          <w:sz w:val="28"/>
          <w:szCs w:val="28"/>
          <w:lang w:val="uk-UA"/>
        </w:rPr>
      </w:pPr>
      <w:r w:rsidRPr="004212E5">
        <w:rPr>
          <w:rFonts w:ascii="Times New Roman" w:hAnsi="Times New Roman" w:cs="Times New Roman"/>
          <w:sz w:val="28"/>
          <w:szCs w:val="28"/>
          <w:lang w:val="uk-UA"/>
        </w:rPr>
        <w:t>договір про закупівлю укладено з порушенням строків, передбачених абзацами третім, четвертим частини другої статті 31, абзацом четвертим частини п’ятої статті 36, абзацом другим частини третьої статті 39 Закону (24 попередження на суму  99 038 298,02 грн);</w:t>
      </w:r>
    </w:p>
    <w:p w:rsidR="00B008B9" w:rsidRPr="004212E5" w:rsidRDefault="00B008B9" w:rsidP="002E66D6">
      <w:pPr>
        <w:pStyle w:val="21"/>
        <w:numPr>
          <w:ilvl w:val="0"/>
          <w:numId w:val="6"/>
        </w:numPr>
        <w:tabs>
          <w:tab w:val="clear" w:pos="1080"/>
          <w:tab w:val="num" w:pos="0"/>
        </w:tabs>
        <w:spacing w:line="360" w:lineRule="auto"/>
        <w:ind w:left="0" w:firstLine="720"/>
        <w:rPr>
          <w:rFonts w:ascii="Times New Roman" w:hAnsi="Times New Roman" w:cs="Times New Roman"/>
          <w:sz w:val="28"/>
          <w:szCs w:val="28"/>
          <w:lang w:val="uk-UA"/>
        </w:rPr>
      </w:pPr>
      <w:r w:rsidRPr="004212E5">
        <w:rPr>
          <w:rFonts w:ascii="Times New Roman" w:hAnsi="Times New Roman" w:cs="Times New Roman"/>
          <w:sz w:val="28"/>
          <w:szCs w:val="28"/>
          <w:lang w:val="uk-UA"/>
        </w:rPr>
        <w:t>відсутність річного плану закупівель (14 попереджень на суму 9 164 896,66грн);</w:t>
      </w:r>
    </w:p>
    <w:p w:rsidR="00B008B9" w:rsidRPr="004212E5" w:rsidRDefault="00B008B9" w:rsidP="002E66D6">
      <w:pPr>
        <w:numPr>
          <w:ilvl w:val="0"/>
          <w:numId w:val="6"/>
        </w:numPr>
        <w:tabs>
          <w:tab w:val="clear" w:pos="1080"/>
          <w:tab w:val="num" w:pos="0"/>
        </w:tabs>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інші порушення (80 попередженнь</w:t>
      </w:r>
      <w:r w:rsidRPr="004212E5">
        <w:rPr>
          <w:rFonts w:ascii="Times New Roman" w:hAnsi="Times New Roman" w:cs="Times New Roman"/>
          <w:sz w:val="28"/>
          <w:szCs w:val="28"/>
        </w:rPr>
        <w:t xml:space="preserve"> на суму 72 444 639,79 грн</w:t>
      </w:r>
      <w:r>
        <w:rPr>
          <w:rFonts w:ascii="Times New Roman" w:hAnsi="Times New Roman" w:cs="Times New Roman"/>
          <w:sz w:val="28"/>
          <w:szCs w:val="28"/>
        </w:rPr>
        <w:t>)</w:t>
      </w:r>
      <w:r w:rsidRPr="004212E5">
        <w:rPr>
          <w:rFonts w:ascii="Times New Roman" w:hAnsi="Times New Roman" w:cs="Times New Roman"/>
          <w:sz w:val="28"/>
          <w:szCs w:val="28"/>
        </w:rPr>
        <w:t>, з них 37 попередження надано у зв’язку з порушенням терміну подання річного плану закупівель (частина перша статті 4 Закону).</w:t>
      </w:r>
    </w:p>
    <w:p w:rsidR="00B008B9" w:rsidRDefault="00B008B9" w:rsidP="002E66D6">
      <w:pPr>
        <w:spacing w:line="360" w:lineRule="auto"/>
        <w:ind w:firstLine="720"/>
        <w:jc w:val="both"/>
        <w:rPr>
          <w:rFonts w:ascii="Times New Roman" w:hAnsi="Times New Roman" w:cs="Times New Roman"/>
          <w:sz w:val="28"/>
          <w:szCs w:val="28"/>
        </w:rPr>
      </w:pPr>
      <w:r w:rsidRPr="004212E5">
        <w:rPr>
          <w:rFonts w:ascii="Times New Roman" w:hAnsi="Times New Roman" w:cs="Times New Roman"/>
          <w:sz w:val="28"/>
          <w:szCs w:val="28"/>
        </w:rPr>
        <w:t xml:space="preserve">Значна частка попереджень, наданих органами Казначейства, припадає на Головні управління Державної казначейської служби України у Дніпропетровській, Харківській, Миколаївській, Кіровоградській областях і </w:t>
      </w:r>
      <w:r w:rsidRPr="00B13309">
        <w:rPr>
          <w:rFonts w:ascii="Times New Roman" w:hAnsi="Times New Roman" w:cs="Times New Roman"/>
          <w:sz w:val="28"/>
          <w:szCs w:val="28"/>
        </w:rPr>
        <w:t xml:space="preserve">            </w:t>
      </w:r>
      <w:r w:rsidRPr="004212E5">
        <w:rPr>
          <w:rFonts w:ascii="Times New Roman" w:hAnsi="Times New Roman" w:cs="Times New Roman"/>
          <w:sz w:val="28"/>
          <w:szCs w:val="28"/>
        </w:rPr>
        <w:t>м. Києві та становить 67 відсотки (205 попередження на загальну суму 251 525 249,39 грн); питому вагу 78 відсотків (238 попередження на загальну суму 319 709 495,34 грн) яких складають попередження надані розпорядникам/одержувачам бюджетних коштів</w:t>
      </w:r>
      <w:r>
        <w:rPr>
          <w:rFonts w:ascii="Times New Roman" w:hAnsi="Times New Roman" w:cs="Times New Roman"/>
          <w:sz w:val="28"/>
          <w:szCs w:val="28"/>
        </w:rPr>
        <w:t xml:space="preserve"> та іншим клієнтам у зв’язку із відсутністю</w:t>
      </w:r>
      <w:r w:rsidRPr="004212E5">
        <w:rPr>
          <w:rFonts w:ascii="Times New Roman" w:hAnsi="Times New Roman" w:cs="Times New Roman"/>
          <w:sz w:val="28"/>
          <w:szCs w:val="28"/>
        </w:rPr>
        <w:t xml:space="preserve"> документів, передбачених Законом, або їх невідповідність встановленим законодавством вимогам щодо оформлення; неоприлюднення</w:t>
      </w:r>
      <w:r>
        <w:rPr>
          <w:rFonts w:ascii="Times New Roman" w:hAnsi="Times New Roman" w:cs="Times New Roman"/>
          <w:sz w:val="28"/>
          <w:szCs w:val="28"/>
        </w:rPr>
        <w:t>м</w:t>
      </w:r>
      <w:r w:rsidRPr="004212E5">
        <w:rPr>
          <w:rFonts w:ascii="Times New Roman" w:hAnsi="Times New Roman" w:cs="Times New Roman"/>
          <w:sz w:val="28"/>
          <w:szCs w:val="28"/>
        </w:rPr>
        <w:t xml:space="preserve"> або порушення</w:t>
      </w:r>
      <w:r>
        <w:rPr>
          <w:rFonts w:ascii="Times New Roman" w:hAnsi="Times New Roman" w:cs="Times New Roman"/>
          <w:sz w:val="28"/>
          <w:szCs w:val="28"/>
        </w:rPr>
        <w:t>м</w:t>
      </w:r>
      <w:r w:rsidRPr="004212E5">
        <w:rPr>
          <w:rFonts w:ascii="Times New Roman" w:hAnsi="Times New Roman" w:cs="Times New Roman"/>
          <w:sz w:val="28"/>
          <w:szCs w:val="28"/>
        </w:rPr>
        <w:t xml:space="preserve"> порядку оприлюднення інформації щодо закупівлі товарів, робіт і послуг за державі кошти відповідно вимо</w:t>
      </w:r>
      <w:r>
        <w:rPr>
          <w:rFonts w:ascii="Times New Roman" w:hAnsi="Times New Roman" w:cs="Times New Roman"/>
          <w:sz w:val="28"/>
          <w:szCs w:val="28"/>
        </w:rPr>
        <w:t>г законодавства; невідповідністю</w:t>
      </w:r>
      <w:r w:rsidRPr="004212E5">
        <w:rPr>
          <w:rFonts w:ascii="Times New Roman" w:hAnsi="Times New Roman" w:cs="Times New Roman"/>
          <w:sz w:val="28"/>
          <w:szCs w:val="28"/>
        </w:rPr>
        <w:t xml:space="preserve"> укладеного договору про закупівлю звіту про результати проведення процедури закупівлі т</w:t>
      </w:r>
      <w:r>
        <w:rPr>
          <w:rFonts w:ascii="Times New Roman" w:hAnsi="Times New Roman" w:cs="Times New Roman"/>
          <w:sz w:val="28"/>
          <w:szCs w:val="28"/>
        </w:rPr>
        <w:t xml:space="preserve">а річному плану закупівель; іншими </w:t>
      </w:r>
      <w:r w:rsidRPr="004212E5">
        <w:rPr>
          <w:rFonts w:ascii="Times New Roman" w:hAnsi="Times New Roman" w:cs="Times New Roman"/>
          <w:sz w:val="28"/>
          <w:szCs w:val="28"/>
        </w:rPr>
        <w:t xml:space="preserve"> порушення</w:t>
      </w:r>
      <w:r>
        <w:rPr>
          <w:rFonts w:ascii="Times New Roman" w:hAnsi="Times New Roman" w:cs="Times New Roman"/>
          <w:sz w:val="28"/>
          <w:szCs w:val="28"/>
        </w:rPr>
        <w:t>ми</w:t>
      </w:r>
      <w:r w:rsidRPr="004212E5">
        <w:rPr>
          <w:rFonts w:ascii="Times New Roman" w:hAnsi="Times New Roman" w:cs="Times New Roman"/>
          <w:sz w:val="28"/>
          <w:szCs w:val="28"/>
        </w:rPr>
        <w:t>, в тому числі порушення терміну подання річного плану закупівель (частина перша статті 4 Закону).</w:t>
      </w:r>
      <w:r>
        <w:rPr>
          <w:rFonts w:ascii="Times New Roman" w:hAnsi="Times New Roman" w:cs="Times New Roman"/>
          <w:sz w:val="28"/>
          <w:szCs w:val="28"/>
        </w:rPr>
        <w:t xml:space="preserve"> </w:t>
      </w:r>
    </w:p>
    <w:p w:rsidR="00B008B9" w:rsidRDefault="00B008B9" w:rsidP="002E66D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Упродовж 2015 року Державною фінансовою інспекцією України та її територіальними органами охоплено контролем проведені процедури державних закупівель на загальну суму 95 875,4 млн. гривень.</w:t>
      </w:r>
    </w:p>
    <w:p w:rsidR="00B008B9" w:rsidRDefault="00B008B9" w:rsidP="002E66D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Зокрема, здійснено аналіз (без виходу на об’єкт контролю шляхом запиту документів) 1335 державних закупівель на загальну суму 6 756 млн. гривень.</w:t>
      </w:r>
    </w:p>
    <w:p w:rsidR="00B008B9" w:rsidRDefault="00B008B9" w:rsidP="002E66D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 результатами такого аналізу попереджено порушень у сфері державних закупівель на загальну суму 2 693,4 млн.гривень, а саме:</w:t>
      </w:r>
    </w:p>
    <w:p w:rsidR="00B008B9" w:rsidRDefault="00B008B9" w:rsidP="002E66D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відмінено 534 конкурентних торги очікуваною  вартістю 1 604,1 млн. гривень;</w:t>
      </w:r>
    </w:p>
    <w:p w:rsidR="00B008B9" w:rsidRDefault="00B008B9" w:rsidP="002E66D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розірвано договорів за 170 проведеними процедурами закупівель на загальну суму 1 089,3 млн. гривень.</w:t>
      </w:r>
    </w:p>
    <w:p w:rsidR="00B008B9" w:rsidRDefault="00B008B9" w:rsidP="002E66D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Крім того, у 2015 році Державна фінансова інспекція України та її територіальні органи під час проведення 1382 контрольних заходів дослідила питання дотримання вимог законодавства при здійсненні державних закупівель на загальну суму 89 119,4 млн. гривень, з них:</w:t>
      </w:r>
    </w:p>
    <w:p w:rsidR="00B008B9" w:rsidRDefault="00B008B9" w:rsidP="002E66D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- 117 перевірок державних закупівель (проведених відповідно до вимог Порядку проведення перевірок державних закупівель Державною фінансовою інспекцією та її територіальними органами, затвердженого постановою Кабінетом Міністрів України від 01 серпня 2013 р. №</w:t>
      </w:r>
      <w:r w:rsidRPr="00F858ED">
        <w:rPr>
          <w:rFonts w:ascii="Times New Roman" w:hAnsi="Times New Roman" w:cs="Times New Roman"/>
          <w:sz w:val="28"/>
          <w:szCs w:val="28"/>
          <w:lang w:val="ru-RU"/>
        </w:rPr>
        <w:t xml:space="preserve"> </w:t>
      </w:r>
      <w:r>
        <w:rPr>
          <w:rFonts w:ascii="Times New Roman" w:hAnsi="Times New Roman" w:cs="Times New Roman"/>
          <w:sz w:val="28"/>
          <w:szCs w:val="28"/>
        </w:rPr>
        <w:t>631), на загальну суму 2 922,6 млн. гривень;</w:t>
      </w:r>
    </w:p>
    <w:p w:rsidR="00B008B9" w:rsidRDefault="00B008B9" w:rsidP="002E66D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- 1265 планових та позапланових ревізій, на загальну суму 89 196,7 млн. гривень.</w:t>
      </w:r>
    </w:p>
    <w:p w:rsidR="00B008B9" w:rsidRDefault="00B008B9" w:rsidP="002E66D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 результатами 425 контрольних заходів установлено порушення законодавства у сфері державних закупівель на загальну суму 11 309,2 млн. гривень, з них 8,8 млн. гривень, що призвели до втрат державних ресурсів , з яких:</w:t>
      </w:r>
    </w:p>
    <w:p w:rsidR="00B008B9" w:rsidRDefault="00B008B9" w:rsidP="002E66D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за результатами 82 перевірок державних закупівель установлено порушень законодавства у сфері державних закупівель на загальну суму 1 134,8 млн. гривень, з них 0,3 млн. гривень, що призвели до втрат державних ресурсів;</w:t>
      </w:r>
    </w:p>
    <w:p w:rsidR="00B008B9" w:rsidRDefault="00B008B9" w:rsidP="002E66D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за результатами 343 ревізій установлено порушень законодавства у сфері державних закупівель на загальну суму 10 174,4 млн. гривень, з них</w:t>
      </w:r>
      <w:r w:rsidRPr="008E16EB">
        <w:rPr>
          <w:rFonts w:ascii="Times New Roman" w:hAnsi="Times New Roman" w:cs="Times New Roman"/>
          <w:sz w:val="28"/>
          <w:szCs w:val="28"/>
          <w:lang w:val="ru-RU"/>
        </w:rPr>
        <w:t xml:space="preserve">                  </w:t>
      </w:r>
      <w:r>
        <w:rPr>
          <w:rFonts w:ascii="Times New Roman" w:hAnsi="Times New Roman" w:cs="Times New Roman"/>
          <w:sz w:val="28"/>
          <w:szCs w:val="28"/>
        </w:rPr>
        <w:t xml:space="preserve"> 8,6 млн. гривень, що призвели до втрат державних ресурсів. </w:t>
      </w:r>
    </w:p>
    <w:p w:rsidR="00B008B9" w:rsidRPr="00334F5D" w:rsidRDefault="00B008B9" w:rsidP="002E66D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Крім того, за результатами контрольних заходів на членів комітету з конкурсних торгів складено 828 протоколів за статтею 164-14 Кодексу України про адміністративні правопорушення, з яких передано до суду 814 протоколів.</w:t>
      </w:r>
    </w:p>
    <w:p w:rsidR="00B008B9" w:rsidRPr="00D51167" w:rsidRDefault="00B008B9" w:rsidP="002E66D6">
      <w:pPr>
        <w:shd w:val="clear" w:color="auto" w:fill="FFFFFF"/>
        <w:spacing w:after="0" w:line="360" w:lineRule="auto"/>
        <w:ind w:firstLine="709"/>
        <w:jc w:val="center"/>
        <w:outlineLvl w:val="0"/>
        <w:rPr>
          <w:rFonts w:ascii="Times New Roman" w:hAnsi="Times New Roman" w:cs="Times New Roman"/>
          <w:b/>
          <w:bCs/>
          <w:sz w:val="28"/>
          <w:szCs w:val="28"/>
          <w:lang w:val="ru-RU" w:eastAsia="uk-UA"/>
        </w:rPr>
      </w:pPr>
      <w:r w:rsidRPr="00D51167">
        <w:rPr>
          <w:rFonts w:ascii="Times New Roman" w:hAnsi="Times New Roman" w:cs="Times New Roman"/>
          <w:b/>
          <w:bCs/>
          <w:sz w:val="28"/>
          <w:szCs w:val="28"/>
          <w:lang w:eastAsia="uk-UA"/>
        </w:rPr>
        <w:t>Діяльність Антимонопольного комітету України як органу оскарження</w:t>
      </w:r>
      <w:r>
        <w:rPr>
          <w:rFonts w:ascii="Times New Roman" w:hAnsi="Times New Roman" w:cs="Times New Roman"/>
          <w:b/>
          <w:bCs/>
          <w:sz w:val="28"/>
          <w:szCs w:val="28"/>
          <w:lang w:eastAsia="uk-UA"/>
        </w:rPr>
        <w:t xml:space="preserve"> </w:t>
      </w:r>
      <w:r w:rsidRPr="00D51167">
        <w:rPr>
          <w:rFonts w:ascii="Times New Roman" w:hAnsi="Times New Roman" w:cs="Times New Roman"/>
          <w:b/>
          <w:bCs/>
          <w:sz w:val="28"/>
          <w:szCs w:val="28"/>
          <w:lang w:eastAsia="uk-UA"/>
        </w:rPr>
        <w:t>щодо розгляду скарг про порушення законодавства у сфері державних закупівель</w:t>
      </w:r>
      <w:r w:rsidRPr="00D51167">
        <w:rPr>
          <w:rFonts w:ascii="Times New Roman" w:hAnsi="Times New Roman" w:cs="Times New Roman"/>
          <w:b/>
          <w:bCs/>
          <w:sz w:val="28"/>
          <w:szCs w:val="28"/>
          <w:lang w:val="ru-RU" w:eastAsia="uk-UA"/>
        </w:rPr>
        <w:t xml:space="preserve"> за період з 01.01.2015 по 31.12.2015</w:t>
      </w: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 xml:space="preserve">За даними органу оскарження – постійно діючої адміністративної колегії з розгляду скарг протягом звітного періоду до Антимонопольного комітету України подано 1342 скарг про порушення законодавства у сфері державних закупівель (таблиця 3). </w:t>
      </w:r>
    </w:p>
    <w:p w:rsidR="00B008B9" w:rsidRPr="004212E5" w:rsidRDefault="00B008B9" w:rsidP="002E66D6">
      <w:pPr>
        <w:spacing w:after="0" w:line="360" w:lineRule="auto"/>
        <w:jc w:val="right"/>
        <w:outlineLvl w:val="0"/>
        <w:rPr>
          <w:rFonts w:ascii="Times New Roman" w:hAnsi="Times New Roman" w:cs="Times New Roman"/>
          <w:sz w:val="28"/>
          <w:szCs w:val="28"/>
          <w:lang w:eastAsia="uk-UA"/>
        </w:rPr>
      </w:pPr>
      <w:r w:rsidRPr="004212E5">
        <w:rPr>
          <w:rFonts w:ascii="Times New Roman" w:hAnsi="Times New Roman" w:cs="Times New Roman"/>
          <w:sz w:val="28"/>
          <w:szCs w:val="28"/>
          <w:lang w:eastAsia="uk-UA"/>
        </w:rPr>
        <w:t>Таблиця 3</w:t>
      </w:r>
    </w:p>
    <w:p w:rsidR="00B008B9" w:rsidRPr="00432815" w:rsidRDefault="00B008B9" w:rsidP="002E66D6">
      <w:pPr>
        <w:spacing w:after="0" w:line="360" w:lineRule="auto"/>
        <w:jc w:val="center"/>
        <w:rPr>
          <w:rFonts w:ascii="Times New Roman" w:hAnsi="Times New Roman" w:cs="Times New Roman"/>
          <w:b/>
          <w:sz w:val="28"/>
          <w:szCs w:val="28"/>
          <w:lang w:eastAsia="uk-UA"/>
        </w:rPr>
      </w:pPr>
      <w:r w:rsidRPr="00432815">
        <w:rPr>
          <w:rFonts w:ascii="Times New Roman" w:hAnsi="Times New Roman" w:cs="Times New Roman"/>
          <w:b/>
          <w:sz w:val="28"/>
          <w:szCs w:val="28"/>
          <w:lang w:eastAsia="uk-UA"/>
        </w:rPr>
        <w:t xml:space="preserve">Інформація органу оскарження щодо кількості </w:t>
      </w:r>
      <w:r w:rsidRPr="00432815">
        <w:rPr>
          <w:rFonts w:ascii="Times New Roman" w:hAnsi="Times New Roman" w:cs="Times New Roman"/>
          <w:b/>
          <w:sz w:val="28"/>
          <w:szCs w:val="28"/>
          <w:lang w:eastAsia="uk-UA"/>
        </w:rPr>
        <w:br/>
        <w:t xml:space="preserve">скарг та прийнятих рішень за період з 01.01.2015 по 31.10.2015 </w:t>
      </w:r>
      <w:r w:rsidRPr="00432815">
        <w:rPr>
          <w:rFonts w:ascii="Times New Roman" w:hAnsi="Times New Roman" w:cs="Times New Roman"/>
          <w:b/>
          <w:sz w:val="28"/>
          <w:szCs w:val="28"/>
          <w:lang w:eastAsia="uk-UA"/>
        </w:rPr>
        <w:br/>
        <w:t>та порівняння наведених даних з аналогічним періодом 2014 року</w:t>
      </w:r>
    </w:p>
    <w:p w:rsidR="00B008B9" w:rsidRPr="000F6C81" w:rsidRDefault="00B008B9" w:rsidP="002E66D6">
      <w:pPr>
        <w:spacing w:after="0" w:line="360" w:lineRule="auto"/>
        <w:jc w:val="center"/>
        <w:rPr>
          <w:rFonts w:ascii="Times New Roman" w:hAnsi="Times New Roman" w:cs="Times New Roman"/>
          <w:sz w:val="28"/>
          <w:szCs w:val="28"/>
          <w:lang w:val="ru-RU" w:eastAsia="uk-UA"/>
        </w:rPr>
      </w:pPr>
    </w:p>
    <w:tbl>
      <w:tblPr>
        <w:tblW w:w="9720" w:type="dxa"/>
        <w:tblInd w:w="-106" w:type="dxa"/>
        <w:tblLook w:val="0000"/>
      </w:tblPr>
      <w:tblGrid>
        <w:gridCol w:w="5040"/>
        <w:gridCol w:w="2340"/>
        <w:gridCol w:w="2340"/>
      </w:tblGrid>
      <w:tr w:rsidR="00B008B9" w:rsidRPr="004212E5" w:rsidTr="004068CA">
        <w:trPr>
          <w:trHeight w:val="255"/>
          <w:tblHeader/>
        </w:trPr>
        <w:tc>
          <w:tcPr>
            <w:tcW w:w="5040" w:type="dxa"/>
            <w:vMerge w:val="restart"/>
            <w:tcBorders>
              <w:top w:val="single" w:sz="4" w:space="0" w:color="auto"/>
              <w:right w:val="single" w:sz="4" w:space="0" w:color="auto"/>
            </w:tcBorders>
            <w:shd w:val="clear" w:color="auto" w:fill="002060"/>
            <w:vAlign w:val="center"/>
          </w:tcPr>
          <w:p w:rsidR="00B008B9" w:rsidRPr="00432815" w:rsidRDefault="00B008B9" w:rsidP="002E66D6">
            <w:pPr>
              <w:spacing w:after="0" w:line="360" w:lineRule="auto"/>
              <w:rPr>
                <w:rFonts w:ascii="Times New Roman" w:hAnsi="Times New Roman" w:cs="Times New Roman"/>
                <w:b/>
                <w:sz w:val="28"/>
                <w:szCs w:val="28"/>
                <w:lang w:eastAsia="uk-UA"/>
              </w:rPr>
            </w:pPr>
            <w:r w:rsidRPr="00432815">
              <w:rPr>
                <w:rFonts w:ascii="Times New Roman" w:hAnsi="Times New Roman" w:cs="Times New Roman"/>
                <w:b/>
                <w:sz w:val="28"/>
                <w:szCs w:val="28"/>
                <w:lang w:eastAsia="uk-UA"/>
              </w:rPr>
              <w:t>Інформація щодо скарг</w:t>
            </w:r>
          </w:p>
        </w:tc>
        <w:tc>
          <w:tcPr>
            <w:tcW w:w="4680" w:type="dxa"/>
            <w:gridSpan w:val="2"/>
            <w:tcBorders>
              <w:top w:val="single" w:sz="4" w:space="0" w:color="auto"/>
              <w:left w:val="nil"/>
              <w:bottom w:val="single" w:sz="4" w:space="0" w:color="auto"/>
            </w:tcBorders>
            <w:shd w:val="clear" w:color="auto" w:fill="002060"/>
            <w:vAlign w:val="center"/>
          </w:tcPr>
          <w:p w:rsidR="00B008B9" w:rsidRPr="00432815" w:rsidRDefault="00B008B9" w:rsidP="002E66D6">
            <w:pPr>
              <w:spacing w:after="0" w:line="360" w:lineRule="auto"/>
              <w:jc w:val="center"/>
              <w:rPr>
                <w:rFonts w:ascii="Times New Roman" w:hAnsi="Times New Roman" w:cs="Times New Roman"/>
                <w:b/>
                <w:sz w:val="28"/>
                <w:szCs w:val="28"/>
                <w:lang w:eastAsia="uk-UA"/>
              </w:rPr>
            </w:pPr>
            <w:r w:rsidRPr="00432815">
              <w:rPr>
                <w:rFonts w:ascii="Times New Roman" w:hAnsi="Times New Roman" w:cs="Times New Roman"/>
                <w:b/>
                <w:sz w:val="28"/>
                <w:szCs w:val="28"/>
                <w:lang w:eastAsia="uk-UA"/>
              </w:rPr>
              <w:t>Кількість</w:t>
            </w:r>
          </w:p>
        </w:tc>
      </w:tr>
      <w:tr w:rsidR="00B008B9" w:rsidRPr="004212E5" w:rsidTr="004068CA">
        <w:trPr>
          <w:trHeight w:val="255"/>
          <w:tblHeader/>
        </w:trPr>
        <w:tc>
          <w:tcPr>
            <w:tcW w:w="5040" w:type="dxa"/>
            <w:vMerge/>
            <w:tcBorders>
              <w:bottom w:val="single" w:sz="4" w:space="0" w:color="auto"/>
              <w:right w:val="single" w:sz="4" w:space="0" w:color="auto"/>
            </w:tcBorders>
            <w:shd w:val="clear" w:color="auto" w:fill="002060"/>
            <w:vAlign w:val="center"/>
          </w:tcPr>
          <w:p w:rsidR="00B008B9" w:rsidRPr="00432815" w:rsidRDefault="00B008B9" w:rsidP="002E66D6">
            <w:pPr>
              <w:spacing w:after="0" w:line="360" w:lineRule="auto"/>
              <w:rPr>
                <w:rFonts w:ascii="Times New Roman" w:hAnsi="Times New Roman" w:cs="Times New Roman"/>
                <w:b/>
                <w:sz w:val="28"/>
                <w:szCs w:val="28"/>
                <w:lang w:eastAsia="uk-UA"/>
              </w:rPr>
            </w:pPr>
          </w:p>
        </w:tc>
        <w:tc>
          <w:tcPr>
            <w:tcW w:w="2340" w:type="dxa"/>
            <w:tcBorders>
              <w:top w:val="single" w:sz="4" w:space="0" w:color="auto"/>
              <w:left w:val="nil"/>
              <w:bottom w:val="single" w:sz="4" w:space="0" w:color="auto"/>
              <w:right w:val="single" w:sz="4" w:space="0" w:color="auto"/>
            </w:tcBorders>
            <w:shd w:val="clear" w:color="auto" w:fill="002060"/>
            <w:vAlign w:val="center"/>
          </w:tcPr>
          <w:p w:rsidR="00B008B9" w:rsidRPr="00432815" w:rsidRDefault="00B008B9" w:rsidP="002E66D6">
            <w:pPr>
              <w:spacing w:after="0" w:line="360" w:lineRule="auto"/>
              <w:jc w:val="center"/>
              <w:rPr>
                <w:rFonts w:ascii="Times New Roman" w:hAnsi="Times New Roman" w:cs="Times New Roman"/>
                <w:b/>
                <w:sz w:val="28"/>
                <w:szCs w:val="28"/>
                <w:lang w:eastAsia="uk-UA"/>
              </w:rPr>
            </w:pPr>
            <w:r w:rsidRPr="00432815">
              <w:rPr>
                <w:rFonts w:ascii="Times New Roman" w:hAnsi="Times New Roman" w:cs="Times New Roman"/>
                <w:b/>
                <w:sz w:val="28"/>
                <w:szCs w:val="28"/>
                <w:lang w:eastAsia="uk-UA"/>
              </w:rPr>
              <w:t>З 01.01.2014 по 31.12.2014</w:t>
            </w:r>
          </w:p>
        </w:tc>
        <w:tc>
          <w:tcPr>
            <w:tcW w:w="2340" w:type="dxa"/>
            <w:tcBorders>
              <w:top w:val="single" w:sz="4" w:space="0" w:color="auto"/>
              <w:left w:val="single" w:sz="4" w:space="0" w:color="auto"/>
              <w:bottom w:val="single" w:sz="4" w:space="0" w:color="auto"/>
            </w:tcBorders>
            <w:shd w:val="clear" w:color="auto" w:fill="002060"/>
            <w:vAlign w:val="center"/>
          </w:tcPr>
          <w:p w:rsidR="00B008B9" w:rsidRPr="00432815" w:rsidRDefault="00B008B9" w:rsidP="002E66D6">
            <w:pPr>
              <w:spacing w:after="0" w:line="360" w:lineRule="auto"/>
              <w:jc w:val="center"/>
              <w:rPr>
                <w:rFonts w:ascii="Times New Roman" w:hAnsi="Times New Roman" w:cs="Times New Roman"/>
                <w:b/>
                <w:sz w:val="28"/>
                <w:szCs w:val="28"/>
                <w:lang w:eastAsia="uk-UA"/>
              </w:rPr>
            </w:pPr>
            <w:r w:rsidRPr="00432815">
              <w:rPr>
                <w:rFonts w:ascii="Times New Roman" w:hAnsi="Times New Roman" w:cs="Times New Roman"/>
                <w:b/>
                <w:sz w:val="28"/>
                <w:szCs w:val="28"/>
                <w:lang w:eastAsia="uk-UA"/>
              </w:rPr>
              <w:t>З 01.01.2015 по 31.12.2015</w:t>
            </w:r>
          </w:p>
        </w:tc>
      </w:tr>
      <w:tr w:rsidR="00B008B9" w:rsidRPr="004212E5" w:rsidTr="00FF22ED">
        <w:trPr>
          <w:cantSplit/>
          <w:trHeight w:val="515"/>
        </w:trPr>
        <w:tc>
          <w:tcPr>
            <w:tcW w:w="5040" w:type="dxa"/>
            <w:vAlign w:val="center"/>
          </w:tcPr>
          <w:p w:rsidR="00B008B9" w:rsidRPr="004212E5" w:rsidRDefault="00B008B9" w:rsidP="002E66D6">
            <w:pPr>
              <w:spacing w:after="0" w:line="360" w:lineRule="auto"/>
              <w:rPr>
                <w:rFonts w:ascii="Times New Roman" w:hAnsi="Times New Roman" w:cs="Times New Roman"/>
                <w:sz w:val="28"/>
                <w:szCs w:val="28"/>
                <w:lang w:eastAsia="uk-UA"/>
              </w:rPr>
            </w:pPr>
            <w:r w:rsidRPr="004212E5">
              <w:rPr>
                <w:rFonts w:ascii="Times New Roman" w:hAnsi="Times New Roman" w:cs="Times New Roman"/>
                <w:sz w:val="28"/>
                <w:szCs w:val="28"/>
                <w:lang w:eastAsia="uk-UA"/>
              </w:rPr>
              <w:t>Подано скарг</w:t>
            </w:r>
          </w:p>
        </w:tc>
        <w:tc>
          <w:tcPr>
            <w:tcW w:w="2340" w:type="dxa"/>
            <w:vAlign w:val="center"/>
          </w:tcPr>
          <w:p w:rsidR="00B008B9" w:rsidRPr="004212E5" w:rsidRDefault="00B008B9" w:rsidP="002E66D6">
            <w:pPr>
              <w:spacing w:after="0" w:line="360" w:lineRule="auto"/>
              <w:jc w:val="center"/>
              <w:rPr>
                <w:rFonts w:ascii="Times New Roman" w:hAnsi="Times New Roman" w:cs="Times New Roman"/>
                <w:sz w:val="28"/>
                <w:szCs w:val="28"/>
                <w:lang w:eastAsia="uk-UA"/>
              </w:rPr>
            </w:pPr>
            <w:r w:rsidRPr="004212E5">
              <w:rPr>
                <w:rFonts w:ascii="Times New Roman" w:hAnsi="Times New Roman" w:cs="Times New Roman"/>
                <w:sz w:val="28"/>
                <w:szCs w:val="28"/>
                <w:lang w:eastAsia="uk-UA"/>
              </w:rPr>
              <w:t>930</w:t>
            </w:r>
          </w:p>
        </w:tc>
        <w:tc>
          <w:tcPr>
            <w:tcW w:w="2340" w:type="dxa"/>
            <w:vAlign w:val="center"/>
          </w:tcPr>
          <w:p w:rsidR="00B008B9" w:rsidRPr="004212E5" w:rsidRDefault="00B008B9" w:rsidP="002E66D6">
            <w:pPr>
              <w:spacing w:after="0" w:line="360" w:lineRule="auto"/>
              <w:jc w:val="center"/>
              <w:rPr>
                <w:rFonts w:ascii="Times New Roman" w:hAnsi="Times New Roman" w:cs="Times New Roman"/>
                <w:sz w:val="28"/>
                <w:szCs w:val="28"/>
                <w:highlight w:val="yellow"/>
                <w:lang w:eastAsia="uk-UA"/>
              </w:rPr>
            </w:pPr>
            <w:r w:rsidRPr="004212E5">
              <w:rPr>
                <w:rFonts w:ascii="Times New Roman" w:hAnsi="Times New Roman" w:cs="Times New Roman"/>
                <w:sz w:val="28"/>
                <w:szCs w:val="28"/>
                <w:lang w:eastAsia="uk-UA"/>
              </w:rPr>
              <w:t>1342</w:t>
            </w:r>
          </w:p>
        </w:tc>
      </w:tr>
      <w:tr w:rsidR="00B008B9" w:rsidRPr="004212E5" w:rsidTr="004068CA">
        <w:trPr>
          <w:cantSplit/>
          <w:trHeight w:val="481"/>
        </w:trPr>
        <w:tc>
          <w:tcPr>
            <w:tcW w:w="5040" w:type="dxa"/>
            <w:shd w:val="clear" w:color="auto" w:fill="F2F2F2"/>
            <w:vAlign w:val="center"/>
          </w:tcPr>
          <w:p w:rsidR="00B008B9" w:rsidRPr="004212E5" w:rsidRDefault="00B008B9" w:rsidP="002E66D6">
            <w:pPr>
              <w:spacing w:after="0" w:line="360" w:lineRule="auto"/>
              <w:rPr>
                <w:rFonts w:ascii="Times New Roman" w:hAnsi="Times New Roman" w:cs="Times New Roman"/>
                <w:sz w:val="28"/>
                <w:szCs w:val="28"/>
                <w:lang w:eastAsia="uk-UA"/>
              </w:rPr>
            </w:pPr>
            <w:r w:rsidRPr="004212E5">
              <w:rPr>
                <w:rFonts w:ascii="Times New Roman" w:hAnsi="Times New Roman" w:cs="Times New Roman"/>
                <w:sz w:val="28"/>
                <w:szCs w:val="28"/>
                <w:lang w:eastAsia="uk-UA"/>
              </w:rPr>
              <w:t>Прийнято скарг до розгляду</w:t>
            </w:r>
          </w:p>
        </w:tc>
        <w:tc>
          <w:tcPr>
            <w:tcW w:w="2340" w:type="dxa"/>
            <w:shd w:val="clear" w:color="auto" w:fill="F2F2F2"/>
            <w:vAlign w:val="center"/>
          </w:tcPr>
          <w:p w:rsidR="00B008B9" w:rsidRPr="004212E5" w:rsidRDefault="00B008B9" w:rsidP="002E66D6">
            <w:pPr>
              <w:spacing w:after="0" w:line="360" w:lineRule="auto"/>
              <w:jc w:val="center"/>
              <w:rPr>
                <w:rFonts w:ascii="Times New Roman" w:hAnsi="Times New Roman" w:cs="Times New Roman"/>
                <w:sz w:val="28"/>
                <w:szCs w:val="28"/>
                <w:lang w:eastAsia="uk-UA"/>
              </w:rPr>
            </w:pPr>
            <w:r w:rsidRPr="004212E5">
              <w:rPr>
                <w:rFonts w:ascii="Times New Roman" w:hAnsi="Times New Roman" w:cs="Times New Roman"/>
                <w:sz w:val="28"/>
                <w:szCs w:val="28"/>
                <w:lang w:eastAsia="uk-UA"/>
              </w:rPr>
              <w:t>766</w:t>
            </w:r>
          </w:p>
        </w:tc>
        <w:tc>
          <w:tcPr>
            <w:tcW w:w="2340" w:type="dxa"/>
            <w:shd w:val="clear" w:color="auto" w:fill="F2F2F2"/>
            <w:vAlign w:val="center"/>
          </w:tcPr>
          <w:p w:rsidR="00B008B9" w:rsidRPr="004212E5" w:rsidRDefault="00B008B9" w:rsidP="002E66D6">
            <w:pPr>
              <w:spacing w:after="0" w:line="360" w:lineRule="auto"/>
              <w:jc w:val="center"/>
              <w:rPr>
                <w:rFonts w:ascii="Times New Roman" w:hAnsi="Times New Roman" w:cs="Times New Roman"/>
                <w:sz w:val="28"/>
                <w:szCs w:val="28"/>
                <w:highlight w:val="yellow"/>
                <w:lang w:eastAsia="uk-UA"/>
              </w:rPr>
            </w:pPr>
            <w:r w:rsidRPr="004212E5">
              <w:rPr>
                <w:rFonts w:ascii="Times New Roman" w:hAnsi="Times New Roman" w:cs="Times New Roman"/>
                <w:sz w:val="28"/>
                <w:szCs w:val="28"/>
                <w:lang w:eastAsia="uk-UA"/>
              </w:rPr>
              <w:t>1092</w:t>
            </w:r>
          </w:p>
        </w:tc>
      </w:tr>
      <w:tr w:rsidR="00B008B9" w:rsidRPr="004212E5" w:rsidTr="00FF22ED">
        <w:trPr>
          <w:cantSplit/>
          <w:trHeight w:val="531"/>
        </w:trPr>
        <w:tc>
          <w:tcPr>
            <w:tcW w:w="5040" w:type="dxa"/>
            <w:vAlign w:val="center"/>
          </w:tcPr>
          <w:p w:rsidR="00B008B9" w:rsidRPr="004212E5" w:rsidRDefault="00B008B9" w:rsidP="002E66D6">
            <w:pPr>
              <w:spacing w:after="0" w:line="360" w:lineRule="auto"/>
              <w:rPr>
                <w:rFonts w:ascii="Times New Roman" w:hAnsi="Times New Roman" w:cs="Times New Roman"/>
                <w:sz w:val="28"/>
                <w:szCs w:val="28"/>
                <w:lang w:eastAsia="uk-UA"/>
              </w:rPr>
            </w:pPr>
            <w:r w:rsidRPr="004212E5">
              <w:rPr>
                <w:rFonts w:ascii="Times New Roman" w:hAnsi="Times New Roman" w:cs="Times New Roman"/>
                <w:sz w:val="28"/>
                <w:szCs w:val="28"/>
                <w:lang w:eastAsia="uk-UA"/>
              </w:rPr>
              <w:t xml:space="preserve">Відмовлено у задоволенні скарг, у тому числі, скарг, що надійшли у попередні періоди </w:t>
            </w:r>
          </w:p>
        </w:tc>
        <w:tc>
          <w:tcPr>
            <w:tcW w:w="2340" w:type="dxa"/>
            <w:vAlign w:val="center"/>
          </w:tcPr>
          <w:p w:rsidR="00B008B9" w:rsidRPr="004212E5" w:rsidRDefault="00B008B9" w:rsidP="002E66D6">
            <w:pPr>
              <w:spacing w:after="0" w:line="360" w:lineRule="auto"/>
              <w:jc w:val="center"/>
              <w:rPr>
                <w:rFonts w:ascii="Times New Roman" w:hAnsi="Times New Roman" w:cs="Times New Roman"/>
                <w:sz w:val="28"/>
                <w:szCs w:val="28"/>
                <w:lang w:eastAsia="uk-UA"/>
              </w:rPr>
            </w:pPr>
            <w:r w:rsidRPr="004212E5">
              <w:rPr>
                <w:rFonts w:ascii="Times New Roman" w:hAnsi="Times New Roman" w:cs="Times New Roman"/>
                <w:sz w:val="28"/>
                <w:szCs w:val="28"/>
                <w:lang w:eastAsia="uk-UA"/>
              </w:rPr>
              <w:t>241</w:t>
            </w:r>
          </w:p>
        </w:tc>
        <w:tc>
          <w:tcPr>
            <w:tcW w:w="2340" w:type="dxa"/>
            <w:vAlign w:val="center"/>
          </w:tcPr>
          <w:p w:rsidR="00B008B9" w:rsidRPr="004212E5" w:rsidRDefault="00B008B9" w:rsidP="002E66D6">
            <w:pPr>
              <w:spacing w:after="0" w:line="360" w:lineRule="auto"/>
              <w:jc w:val="center"/>
              <w:rPr>
                <w:rFonts w:ascii="Times New Roman" w:hAnsi="Times New Roman" w:cs="Times New Roman"/>
                <w:sz w:val="28"/>
                <w:szCs w:val="28"/>
                <w:highlight w:val="yellow"/>
                <w:lang w:eastAsia="uk-UA"/>
              </w:rPr>
            </w:pPr>
            <w:r w:rsidRPr="004212E5">
              <w:rPr>
                <w:rFonts w:ascii="Times New Roman" w:hAnsi="Times New Roman" w:cs="Times New Roman"/>
                <w:sz w:val="28"/>
                <w:szCs w:val="28"/>
                <w:lang w:eastAsia="uk-UA"/>
              </w:rPr>
              <w:t>337</w:t>
            </w:r>
          </w:p>
        </w:tc>
      </w:tr>
      <w:tr w:rsidR="00B008B9" w:rsidRPr="004212E5" w:rsidTr="004068CA">
        <w:trPr>
          <w:cantSplit/>
          <w:trHeight w:val="344"/>
        </w:trPr>
        <w:tc>
          <w:tcPr>
            <w:tcW w:w="5040" w:type="dxa"/>
            <w:shd w:val="clear" w:color="auto" w:fill="F2F2F2"/>
            <w:vAlign w:val="center"/>
          </w:tcPr>
          <w:p w:rsidR="00B008B9" w:rsidRPr="004212E5" w:rsidRDefault="00B008B9" w:rsidP="002E66D6">
            <w:pPr>
              <w:spacing w:after="0" w:line="360" w:lineRule="auto"/>
              <w:rPr>
                <w:rFonts w:ascii="Times New Roman" w:hAnsi="Times New Roman" w:cs="Times New Roman"/>
                <w:sz w:val="28"/>
                <w:szCs w:val="28"/>
                <w:lang w:eastAsia="uk-UA"/>
              </w:rPr>
            </w:pPr>
            <w:r w:rsidRPr="004212E5">
              <w:rPr>
                <w:rFonts w:ascii="Times New Roman" w:hAnsi="Times New Roman" w:cs="Times New Roman"/>
                <w:sz w:val="28"/>
                <w:szCs w:val="28"/>
                <w:lang w:eastAsia="uk-UA"/>
              </w:rPr>
              <w:t>Задоволено скарг повністю та частково,</w:t>
            </w:r>
            <w:r>
              <w:rPr>
                <w:rFonts w:ascii="Times New Roman" w:hAnsi="Times New Roman" w:cs="Times New Roman"/>
                <w:sz w:val="28"/>
                <w:szCs w:val="28"/>
                <w:lang w:val="ru-RU" w:eastAsia="uk-UA"/>
              </w:rPr>
              <w:t xml:space="preserve"> </w:t>
            </w:r>
            <w:r w:rsidRPr="004212E5">
              <w:rPr>
                <w:rFonts w:ascii="Times New Roman" w:hAnsi="Times New Roman" w:cs="Times New Roman"/>
                <w:sz w:val="28"/>
                <w:szCs w:val="28"/>
                <w:lang w:eastAsia="uk-UA"/>
              </w:rPr>
              <w:t>у тому числі, скарг, що надійшли у попередні періоди</w:t>
            </w:r>
          </w:p>
        </w:tc>
        <w:tc>
          <w:tcPr>
            <w:tcW w:w="2340" w:type="dxa"/>
            <w:shd w:val="clear" w:color="auto" w:fill="F2F2F2"/>
            <w:vAlign w:val="center"/>
          </w:tcPr>
          <w:p w:rsidR="00B008B9" w:rsidRPr="004212E5" w:rsidRDefault="00B008B9" w:rsidP="002E66D6">
            <w:pPr>
              <w:spacing w:after="0" w:line="360" w:lineRule="auto"/>
              <w:jc w:val="center"/>
              <w:rPr>
                <w:rFonts w:ascii="Times New Roman" w:hAnsi="Times New Roman" w:cs="Times New Roman"/>
                <w:sz w:val="28"/>
                <w:szCs w:val="28"/>
                <w:lang w:eastAsia="uk-UA"/>
              </w:rPr>
            </w:pPr>
            <w:r w:rsidRPr="004212E5">
              <w:rPr>
                <w:rFonts w:ascii="Times New Roman" w:hAnsi="Times New Roman" w:cs="Times New Roman"/>
                <w:sz w:val="28"/>
                <w:szCs w:val="28"/>
                <w:lang w:eastAsia="uk-UA"/>
              </w:rPr>
              <w:t>379</w:t>
            </w:r>
          </w:p>
        </w:tc>
        <w:tc>
          <w:tcPr>
            <w:tcW w:w="2340" w:type="dxa"/>
            <w:shd w:val="clear" w:color="auto" w:fill="F2F2F2"/>
            <w:vAlign w:val="center"/>
          </w:tcPr>
          <w:p w:rsidR="00B008B9" w:rsidRPr="004212E5" w:rsidRDefault="00B008B9" w:rsidP="002E66D6">
            <w:pPr>
              <w:spacing w:after="0" w:line="360" w:lineRule="auto"/>
              <w:jc w:val="center"/>
              <w:rPr>
                <w:rFonts w:ascii="Times New Roman" w:hAnsi="Times New Roman" w:cs="Times New Roman"/>
                <w:sz w:val="28"/>
                <w:szCs w:val="28"/>
                <w:highlight w:val="yellow"/>
                <w:lang w:eastAsia="uk-UA"/>
              </w:rPr>
            </w:pPr>
            <w:r w:rsidRPr="004212E5">
              <w:rPr>
                <w:rFonts w:ascii="Times New Roman" w:hAnsi="Times New Roman" w:cs="Times New Roman"/>
                <w:sz w:val="28"/>
                <w:szCs w:val="28"/>
                <w:lang w:eastAsia="uk-UA"/>
              </w:rPr>
              <w:t>494</w:t>
            </w:r>
          </w:p>
        </w:tc>
      </w:tr>
      <w:tr w:rsidR="00B008B9" w:rsidRPr="004212E5" w:rsidTr="00FF22ED">
        <w:trPr>
          <w:cantSplit/>
          <w:trHeight w:val="510"/>
        </w:trPr>
        <w:tc>
          <w:tcPr>
            <w:tcW w:w="5040" w:type="dxa"/>
            <w:vAlign w:val="center"/>
          </w:tcPr>
          <w:p w:rsidR="00B008B9" w:rsidRPr="004212E5" w:rsidRDefault="00B008B9" w:rsidP="002E66D6">
            <w:pPr>
              <w:spacing w:after="0" w:line="360" w:lineRule="auto"/>
              <w:rPr>
                <w:rFonts w:ascii="Times New Roman" w:hAnsi="Times New Roman" w:cs="Times New Roman"/>
                <w:sz w:val="28"/>
                <w:szCs w:val="28"/>
                <w:lang w:eastAsia="uk-UA"/>
              </w:rPr>
            </w:pPr>
            <w:r w:rsidRPr="004212E5">
              <w:rPr>
                <w:rFonts w:ascii="Times New Roman" w:hAnsi="Times New Roman" w:cs="Times New Roman"/>
                <w:sz w:val="28"/>
                <w:szCs w:val="28"/>
                <w:lang w:eastAsia="uk-UA"/>
              </w:rPr>
              <w:t xml:space="preserve">Повернуто скарг без розгляду за рішенням Колегії, у тому числі скарг, що надійшли у попередні періоди </w:t>
            </w:r>
          </w:p>
        </w:tc>
        <w:tc>
          <w:tcPr>
            <w:tcW w:w="2340" w:type="dxa"/>
            <w:vAlign w:val="center"/>
          </w:tcPr>
          <w:p w:rsidR="00B008B9" w:rsidRPr="004212E5" w:rsidRDefault="00B008B9" w:rsidP="002E66D6">
            <w:pPr>
              <w:spacing w:after="0" w:line="360" w:lineRule="auto"/>
              <w:jc w:val="center"/>
              <w:rPr>
                <w:rFonts w:ascii="Times New Roman" w:hAnsi="Times New Roman" w:cs="Times New Roman"/>
                <w:sz w:val="28"/>
                <w:szCs w:val="28"/>
                <w:lang w:eastAsia="uk-UA"/>
              </w:rPr>
            </w:pPr>
            <w:r w:rsidRPr="004212E5">
              <w:rPr>
                <w:rFonts w:ascii="Times New Roman" w:hAnsi="Times New Roman" w:cs="Times New Roman"/>
                <w:sz w:val="28"/>
                <w:szCs w:val="28"/>
                <w:lang w:eastAsia="uk-UA"/>
              </w:rPr>
              <w:t>133</w:t>
            </w:r>
          </w:p>
        </w:tc>
        <w:tc>
          <w:tcPr>
            <w:tcW w:w="2340" w:type="dxa"/>
            <w:vAlign w:val="center"/>
          </w:tcPr>
          <w:p w:rsidR="00B008B9" w:rsidRPr="004212E5" w:rsidRDefault="00B008B9" w:rsidP="002E66D6">
            <w:pPr>
              <w:spacing w:after="0" w:line="360" w:lineRule="auto"/>
              <w:jc w:val="center"/>
              <w:rPr>
                <w:rFonts w:ascii="Times New Roman" w:hAnsi="Times New Roman" w:cs="Times New Roman"/>
                <w:sz w:val="28"/>
                <w:szCs w:val="28"/>
                <w:highlight w:val="yellow"/>
                <w:lang w:eastAsia="uk-UA"/>
              </w:rPr>
            </w:pPr>
            <w:r w:rsidRPr="004212E5">
              <w:rPr>
                <w:rFonts w:ascii="Times New Roman" w:hAnsi="Times New Roman" w:cs="Times New Roman"/>
                <w:sz w:val="28"/>
                <w:szCs w:val="28"/>
                <w:lang w:eastAsia="uk-UA"/>
              </w:rPr>
              <w:t>-</w:t>
            </w:r>
          </w:p>
        </w:tc>
      </w:tr>
      <w:tr w:rsidR="00B008B9" w:rsidRPr="004212E5" w:rsidTr="004068CA">
        <w:trPr>
          <w:cantSplit/>
          <w:trHeight w:val="409"/>
        </w:trPr>
        <w:tc>
          <w:tcPr>
            <w:tcW w:w="5040" w:type="dxa"/>
            <w:shd w:val="clear" w:color="auto" w:fill="F2F2F2"/>
            <w:vAlign w:val="center"/>
          </w:tcPr>
          <w:p w:rsidR="00B008B9" w:rsidRPr="004212E5" w:rsidRDefault="00B008B9" w:rsidP="002E66D6">
            <w:pPr>
              <w:spacing w:after="0" w:line="360" w:lineRule="auto"/>
              <w:rPr>
                <w:rFonts w:ascii="Times New Roman" w:hAnsi="Times New Roman" w:cs="Times New Roman"/>
                <w:sz w:val="28"/>
                <w:szCs w:val="28"/>
                <w:lang w:eastAsia="uk-UA"/>
              </w:rPr>
            </w:pPr>
            <w:r w:rsidRPr="004212E5">
              <w:rPr>
                <w:rFonts w:ascii="Times New Roman" w:hAnsi="Times New Roman" w:cs="Times New Roman"/>
                <w:sz w:val="28"/>
                <w:szCs w:val="28"/>
                <w:lang w:eastAsia="uk-UA"/>
              </w:rPr>
              <w:t xml:space="preserve">Припинено розгляд, у тому числі скарг, що надійшли у попередні періоди </w:t>
            </w:r>
          </w:p>
        </w:tc>
        <w:tc>
          <w:tcPr>
            <w:tcW w:w="2340" w:type="dxa"/>
            <w:shd w:val="clear" w:color="auto" w:fill="F2F2F2"/>
            <w:vAlign w:val="center"/>
          </w:tcPr>
          <w:p w:rsidR="00B008B9" w:rsidRPr="004212E5" w:rsidRDefault="00B008B9" w:rsidP="002E66D6">
            <w:pPr>
              <w:spacing w:after="0" w:line="360" w:lineRule="auto"/>
              <w:jc w:val="center"/>
              <w:rPr>
                <w:rFonts w:ascii="Times New Roman" w:hAnsi="Times New Roman" w:cs="Times New Roman"/>
                <w:sz w:val="28"/>
                <w:szCs w:val="28"/>
                <w:lang w:eastAsia="uk-UA"/>
              </w:rPr>
            </w:pPr>
            <w:r w:rsidRPr="004212E5">
              <w:rPr>
                <w:rFonts w:ascii="Times New Roman" w:hAnsi="Times New Roman" w:cs="Times New Roman"/>
                <w:sz w:val="28"/>
                <w:szCs w:val="28"/>
                <w:lang w:eastAsia="uk-UA"/>
              </w:rPr>
              <w:t>145</w:t>
            </w:r>
          </w:p>
        </w:tc>
        <w:tc>
          <w:tcPr>
            <w:tcW w:w="2340" w:type="dxa"/>
            <w:shd w:val="clear" w:color="auto" w:fill="F2F2F2"/>
            <w:vAlign w:val="center"/>
          </w:tcPr>
          <w:p w:rsidR="00B008B9" w:rsidRPr="004212E5" w:rsidRDefault="00B008B9" w:rsidP="002E66D6">
            <w:pPr>
              <w:spacing w:after="0" w:line="360" w:lineRule="auto"/>
              <w:jc w:val="center"/>
              <w:rPr>
                <w:rFonts w:ascii="Times New Roman" w:hAnsi="Times New Roman" w:cs="Times New Roman"/>
                <w:sz w:val="28"/>
                <w:szCs w:val="28"/>
                <w:highlight w:val="yellow"/>
                <w:lang w:eastAsia="uk-UA"/>
              </w:rPr>
            </w:pPr>
            <w:r w:rsidRPr="004212E5">
              <w:rPr>
                <w:rFonts w:ascii="Times New Roman" w:hAnsi="Times New Roman" w:cs="Times New Roman"/>
                <w:sz w:val="28"/>
                <w:szCs w:val="28"/>
                <w:lang w:eastAsia="uk-UA"/>
              </w:rPr>
              <w:t>216</w:t>
            </w:r>
          </w:p>
        </w:tc>
      </w:tr>
    </w:tbl>
    <w:p w:rsidR="00B008B9" w:rsidRPr="004068CA" w:rsidRDefault="00B008B9" w:rsidP="002E66D6">
      <w:pPr>
        <w:spacing w:after="0" w:line="360" w:lineRule="auto"/>
        <w:jc w:val="center"/>
        <w:rPr>
          <w:rFonts w:ascii="Times New Roman" w:hAnsi="Times New Roman" w:cs="Times New Roman"/>
          <w:sz w:val="28"/>
          <w:szCs w:val="28"/>
          <w:lang w:val="en-US" w:eastAsia="uk-UA"/>
        </w:rPr>
      </w:pP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У процесі виконання Антимонопольним комітетом функцій органу оскарження відповідно до Закону виявлені такі типові порушення замовниками вимог законодавства у сфері державних закупівель під час проведення ними процедур закупівель:</w:t>
      </w: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1D581B">
        <w:rPr>
          <w:rFonts w:ascii="Times New Roman" w:hAnsi="Times New Roman" w:cs="Times New Roman"/>
          <w:b/>
          <w:sz w:val="28"/>
          <w:szCs w:val="28"/>
          <w:lang w:eastAsia="uk-UA"/>
        </w:rPr>
        <w:t>перша категорія порушень</w:t>
      </w:r>
      <w:r w:rsidRPr="004212E5">
        <w:rPr>
          <w:rFonts w:ascii="Times New Roman" w:hAnsi="Times New Roman" w:cs="Times New Roman"/>
          <w:sz w:val="28"/>
          <w:szCs w:val="28"/>
          <w:lang w:eastAsia="uk-UA"/>
        </w:rPr>
        <w:t xml:space="preserve"> – складання замовниками документації конкурсних торгів з порушенням основних принципів державних закупівель, визначених Законом, зокрема: </w:t>
      </w: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встановлення непрозорих та нечітких технічних і кваліфікаційних вимог документації конкурсних торгів;</w:t>
      </w: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штучне розширення предмета закупівлі (невиправдане об’єднання товару / послуг в один лот / предмет закупівлі; нечітке, загальне визначення предмета закупівлі);</w:t>
      </w: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штучне звуження предмета закупівлі (зайва деталізація предмета закупівлі);</w:t>
      </w: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помилки під час складення документації конкурсних торгів (невідповідність додатків документації конкурсних торгів основним вимогам документації конкурсних торгів, невірно визначені строки подання пропозицій конкурсних торгів тощо);</w:t>
      </w: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вимагання документів, які можуть бути подані лише обмеженим колом осіб (зокрема, довідки від органів, які не уповноважені видавати такі довідки, копії технічних умов, завірених оригіналом печатки власника цих технічних умов);</w:t>
      </w: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встановлення територіальних обмежень тощо;</w:t>
      </w: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1D581B">
        <w:rPr>
          <w:rFonts w:ascii="Times New Roman" w:hAnsi="Times New Roman" w:cs="Times New Roman"/>
          <w:b/>
          <w:sz w:val="28"/>
          <w:szCs w:val="28"/>
          <w:lang w:eastAsia="uk-UA"/>
        </w:rPr>
        <w:t>друга категорія порушень</w:t>
      </w:r>
      <w:r w:rsidRPr="004212E5">
        <w:rPr>
          <w:rFonts w:ascii="Times New Roman" w:hAnsi="Times New Roman" w:cs="Times New Roman"/>
          <w:sz w:val="28"/>
          <w:szCs w:val="28"/>
          <w:lang w:eastAsia="uk-UA"/>
        </w:rPr>
        <w:t xml:space="preserve"> – процедурні порушення з боку замовника, зокрема:</w:t>
      </w: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порушення порядку оприлюднення інформації про закупівлю;</w:t>
      </w: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неправомірне відхилення пропозицій конкурсних торгів учасників процедури закупівлі;</w:t>
      </w: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допущення до оцінки пропозицій конкурсних торгів учасників процедури закупівлі, які не відповідають вимогам документації конкурсних торгів;</w:t>
      </w: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неправомірне визначення переможця процедури закупівлі;</w:t>
      </w: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укладення договорів про закупівлю з порушенням строків, визначених Законом (у тому числі під час процедури оскарження).</w:t>
      </w:r>
    </w:p>
    <w:p w:rsidR="00B008B9" w:rsidRPr="007E36CE" w:rsidRDefault="00B008B9" w:rsidP="002E66D6">
      <w:pPr>
        <w:spacing w:after="0" w:line="360" w:lineRule="auto"/>
        <w:ind w:firstLine="709"/>
        <w:jc w:val="both"/>
        <w:rPr>
          <w:rFonts w:ascii="Times New Roman" w:hAnsi="Times New Roman" w:cs="Times New Roman"/>
          <w:sz w:val="28"/>
          <w:szCs w:val="28"/>
          <w:lang w:eastAsia="uk-UA"/>
        </w:rPr>
      </w:pPr>
      <w:r w:rsidRPr="007E36CE">
        <w:rPr>
          <w:rFonts w:ascii="Times New Roman" w:hAnsi="Times New Roman" w:cs="Times New Roman"/>
          <w:sz w:val="28"/>
          <w:szCs w:val="28"/>
          <w:lang w:eastAsia="uk-UA"/>
        </w:rPr>
        <w:t>За результатами аналізу рішень органу оскарження щодо задоволених скарг, як правило, приймаються рішення, якими зобов’язують замовників:</w:t>
      </w:r>
    </w:p>
    <w:p w:rsidR="00B008B9" w:rsidRPr="007E36CE" w:rsidRDefault="00B008B9" w:rsidP="002E66D6">
      <w:pPr>
        <w:spacing w:after="0" w:line="360" w:lineRule="auto"/>
        <w:ind w:firstLine="709"/>
        <w:jc w:val="both"/>
        <w:rPr>
          <w:rFonts w:ascii="Times New Roman" w:hAnsi="Times New Roman" w:cs="Times New Roman"/>
          <w:sz w:val="28"/>
          <w:szCs w:val="28"/>
          <w:lang w:eastAsia="uk-UA"/>
        </w:rPr>
      </w:pPr>
      <w:r w:rsidRPr="007E36CE">
        <w:rPr>
          <w:rFonts w:ascii="Times New Roman" w:hAnsi="Times New Roman" w:cs="Times New Roman"/>
          <w:sz w:val="28"/>
          <w:szCs w:val="28"/>
          <w:lang w:eastAsia="uk-UA"/>
        </w:rPr>
        <w:t>- внести зміни до документації конкурсних торгів з метою усунення дискримінаційних вимог;</w:t>
      </w:r>
    </w:p>
    <w:p w:rsidR="00B008B9" w:rsidRPr="007E36CE" w:rsidRDefault="00B008B9" w:rsidP="002E66D6">
      <w:pPr>
        <w:spacing w:after="0" w:line="360" w:lineRule="auto"/>
        <w:ind w:firstLine="709"/>
        <w:jc w:val="both"/>
        <w:rPr>
          <w:rFonts w:ascii="Times New Roman" w:hAnsi="Times New Roman" w:cs="Times New Roman"/>
          <w:sz w:val="28"/>
          <w:szCs w:val="28"/>
          <w:lang w:eastAsia="uk-UA"/>
        </w:rPr>
      </w:pPr>
      <w:r w:rsidRPr="007E36CE">
        <w:rPr>
          <w:rFonts w:ascii="Times New Roman" w:hAnsi="Times New Roman" w:cs="Times New Roman"/>
          <w:sz w:val="28"/>
          <w:szCs w:val="28"/>
          <w:lang w:eastAsia="uk-UA"/>
        </w:rPr>
        <w:t>- скасувати прийняті рішення та завершити процедуру відповідно до вимог Закону;</w:t>
      </w:r>
    </w:p>
    <w:p w:rsidR="00B008B9" w:rsidRPr="007E36CE" w:rsidRDefault="00B008B9" w:rsidP="002E66D6">
      <w:pPr>
        <w:spacing w:after="0" w:line="360" w:lineRule="auto"/>
        <w:ind w:firstLine="709"/>
        <w:jc w:val="both"/>
        <w:rPr>
          <w:rFonts w:ascii="Times New Roman" w:hAnsi="Times New Roman" w:cs="Times New Roman"/>
          <w:sz w:val="28"/>
          <w:szCs w:val="28"/>
          <w:lang w:eastAsia="uk-UA"/>
        </w:rPr>
      </w:pPr>
      <w:r w:rsidRPr="007E36CE">
        <w:rPr>
          <w:rFonts w:ascii="Times New Roman" w:hAnsi="Times New Roman" w:cs="Times New Roman"/>
          <w:sz w:val="28"/>
          <w:szCs w:val="28"/>
          <w:lang w:eastAsia="uk-UA"/>
        </w:rPr>
        <w:t xml:space="preserve">- відмінити процедуру закупівлі.  </w:t>
      </w: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7E36CE">
        <w:rPr>
          <w:rFonts w:ascii="Times New Roman" w:hAnsi="Times New Roman" w:cs="Times New Roman"/>
          <w:sz w:val="28"/>
          <w:szCs w:val="28"/>
          <w:lang w:eastAsia="uk-UA"/>
        </w:rPr>
        <w:t>Рішення органу оскарження обов’язково оприлюднюються на веб-порталі Уповноваженого органу з питань закупівель та на офіційному веб-сайті Антимонопольного комітету України</w:t>
      </w:r>
      <w:r w:rsidRPr="00847AAE">
        <w:rPr>
          <w:rFonts w:ascii="Times New Roman" w:hAnsi="Times New Roman" w:cs="Times New Roman"/>
          <w:sz w:val="28"/>
          <w:szCs w:val="28"/>
          <w:lang w:eastAsia="uk-UA"/>
        </w:rPr>
        <w:t>.</w:t>
      </w:r>
    </w:p>
    <w:p w:rsidR="00B008B9" w:rsidRPr="004212E5" w:rsidRDefault="00B008B9" w:rsidP="002E66D6">
      <w:pPr>
        <w:autoSpaceDE w:val="0"/>
        <w:autoSpaceDN w:val="0"/>
        <w:adjustRightInd w:val="0"/>
        <w:spacing w:after="0" w:line="360" w:lineRule="auto"/>
        <w:ind w:firstLine="709"/>
        <w:jc w:val="center"/>
        <w:rPr>
          <w:rFonts w:ascii="Times New Roman" w:hAnsi="Times New Roman" w:cs="Times New Roman"/>
          <w:sz w:val="28"/>
          <w:szCs w:val="28"/>
          <w:lang w:eastAsia="uk-UA"/>
        </w:rPr>
      </w:pPr>
    </w:p>
    <w:p w:rsidR="00B008B9" w:rsidRPr="0083544A" w:rsidRDefault="00B008B9" w:rsidP="002E66D6">
      <w:pPr>
        <w:autoSpaceDE w:val="0"/>
        <w:autoSpaceDN w:val="0"/>
        <w:adjustRightInd w:val="0"/>
        <w:spacing w:after="0" w:line="360" w:lineRule="auto"/>
        <w:ind w:firstLine="709"/>
        <w:jc w:val="center"/>
        <w:outlineLvl w:val="0"/>
        <w:rPr>
          <w:rFonts w:ascii="Times New Roman" w:hAnsi="Times New Roman" w:cs="Times New Roman"/>
          <w:b/>
          <w:bCs/>
          <w:sz w:val="28"/>
          <w:szCs w:val="28"/>
          <w:lang w:eastAsia="uk-UA"/>
        </w:rPr>
      </w:pPr>
      <w:r w:rsidRPr="0083544A">
        <w:rPr>
          <w:rFonts w:ascii="Times New Roman" w:hAnsi="Times New Roman" w:cs="Times New Roman"/>
          <w:b/>
          <w:bCs/>
          <w:sz w:val="28"/>
          <w:szCs w:val="28"/>
          <w:lang w:eastAsia="uk-UA"/>
        </w:rPr>
        <w:t>Діяльність Уповноваженого органу у сфері державних закупівель</w:t>
      </w:r>
    </w:p>
    <w:p w:rsidR="00B008B9" w:rsidRPr="004212E5" w:rsidRDefault="00B008B9" w:rsidP="002E66D6">
      <w:pPr>
        <w:autoSpaceDE w:val="0"/>
        <w:autoSpaceDN w:val="0"/>
        <w:adjustRightInd w:val="0"/>
        <w:spacing w:after="0" w:line="360" w:lineRule="auto"/>
        <w:rPr>
          <w:rFonts w:ascii="Times New Roman" w:hAnsi="Times New Roman" w:cs="Times New Roman"/>
          <w:sz w:val="28"/>
          <w:szCs w:val="28"/>
          <w:lang w:eastAsia="uk-UA"/>
        </w:rPr>
      </w:pP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Основні функції Мінекономрозвитку як Уповноваженого органу у сфері державних закупівель визначені у частині першій статті 8 Закону, серед яких, зокрема, надання роз’яснень щодо застосування законодавства у сфері закупівель, взаємодія з громадськістю, надання безоплатної методологічної допомоги замовникам та надання відповідей з питань державних закупівель на запити зацікавлених осіб, міжнародне співробітництво у сфері закупівель.</w:t>
      </w:r>
    </w:p>
    <w:p w:rsidR="00B008B9" w:rsidRPr="004212E5" w:rsidRDefault="00B008B9" w:rsidP="002D5C55">
      <w:pPr>
        <w:spacing w:after="0" w:line="360" w:lineRule="auto"/>
        <w:ind w:firstLine="709"/>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Упродовж 2015 року до Міністерства надійшло 1685 запитів від замовників, учасників, контролюючих органів щодо застосування норм законодавства у сфері держа</w:t>
      </w:r>
      <w:r>
        <w:rPr>
          <w:rFonts w:ascii="Times New Roman" w:hAnsi="Times New Roman" w:cs="Times New Roman"/>
          <w:sz w:val="28"/>
          <w:szCs w:val="28"/>
          <w:lang w:eastAsia="uk-UA"/>
        </w:rPr>
        <w:t>вних закупівель, що на 65 запитів</w:t>
      </w:r>
      <w:r w:rsidRPr="004212E5">
        <w:rPr>
          <w:rFonts w:ascii="Times New Roman" w:hAnsi="Times New Roman" w:cs="Times New Roman"/>
          <w:sz w:val="28"/>
          <w:szCs w:val="28"/>
          <w:lang w:eastAsia="uk-UA"/>
        </w:rPr>
        <w:t xml:space="preserve"> менше, ніж в 2014 році. На ці запит</w:t>
      </w:r>
      <w:r>
        <w:rPr>
          <w:rFonts w:ascii="Times New Roman" w:hAnsi="Times New Roman" w:cs="Times New Roman"/>
          <w:sz w:val="28"/>
          <w:szCs w:val="28"/>
          <w:lang w:eastAsia="uk-UA"/>
        </w:rPr>
        <w:t>и надано 1316 листів-роз’яснень проти 1 619 листів-роз’ясненнь, наданих у 2014 році. Поступове</w:t>
      </w:r>
      <w:r w:rsidRPr="004212E5">
        <w:rPr>
          <w:rFonts w:ascii="Times New Roman" w:hAnsi="Times New Roman" w:cs="Times New Roman"/>
          <w:sz w:val="28"/>
          <w:szCs w:val="28"/>
          <w:lang w:eastAsia="uk-UA"/>
        </w:rPr>
        <w:t xml:space="preserve"> зменшення кількості запитів пов’язано із запровадженням на постійній основі практики оприл</w:t>
      </w:r>
      <w:r>
        <w:rPr>
          <w:rFonts w:ascii="Times New Roman" w:hAnsi="Times New Roman" w:cs="Times New Roman"/>
          <w:sz w:val="28"/>
          <w:szCs w:val="28"/>
          <w:lang w:eastAsia="uk-UA"/>
        </w:rPr>
        <w:t xml:space="preserve">юднення всіх запитів та роз’яснень, листів та відповідей актуальних питань,  </w:t>
      </w:r>
      <w:r w:rsidRPr="004212E5">
        <w:rPr>
          <w:rFonts w:ascii="Times New Roman" w:hAnsi="Times New Roman" w:cs="Times New Roman"/>
          <w:sz w:val="28"/>
          <w:szCs w:val="28"/>
          <w:lang w:eastAsia="uk-UA"/>
        </w:rPr>
        <w:t>з якими звертаються суб’є</w:t>
      </w:r>
      <w:r>
        <w:rPr>
          <w:rFonts w:ascii="Times New Roman" w:hAnsi="Times New Roman" w:cs="Times New Roman"/>
          <w:sz w:val="28"/>
          <w:szCs w:val="28"/>
          <w:lang w:eastAsia="uk-UA"/>
        </w:rPr>
        <w:t>кти сфери державних закупівель</w:t>
      </w:r>
      <w:r w:rsidRPr="004212E5">
        <w:rPr>
          <w:rFonts w:ascii="Times New Roman" w:hAnsi="Times New Roman" w:cs="Times New Roman"/>
          <w:sz w:val="28"/>
          <w:szCs w:val="28"/>
          <w:lang w:eastAsia="uk-UA"/>
        </w:rPr>
        <w:t xml:space="preserve"> на офіційному веб-сайті Мінекономрозвитку у підрубриках “</w:t>
      </w:r>
      <w:hyperlink r:id="rId12" w:history="1">
        <w:r w:rsidRPr="004212E5">
          <w:rPr>
            <w:rFonts w:ascii="Times New Roman" w:hAnsi="Times New Roman" w:cs="Times New Roman"/>
            <w:sz w:val="28"/>
            <w:szCs w:val="28"/>
            <w:lang w:eastAsia="uk-UA"/>
          </w:rPr>
          <w:t>Роз’яснення стосовно застосування законодавства у сфері державних закупівель</w:t>
        </w:r>
      </w:hyperlink>
      <w:r w:rsidRPr="004212E5">
        <w:rPr>
          <w:rFonts w:ascii="Times New Roman" w:hAnsi="Times New Roman" w:cs="Times New Roman"/>
          <w:sz w:val="28"/>
          <w:szCs w:val="28"/>
          <w:lang w:eastAsia="uk-UA"/>
        </w:rPr>
        <w:t xml:space="preserve">” та “Листи інформативного характеру”. Крім того, співробітниками Міністерства надаються консультації та методологічна допомога суб’єктам сфери державних закупівель у телефонному режимі. </w:t>
      </w: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Серед питань, з якими звертались суб’єкти сфери державних закупівель, можна виділити наступні:</w:t>
      </w:r>
    </w:p>
    <w:p w:rsidR="00B008B9" w:rsidRPr="004212E5" w:rsidRDefault="00B008B9" w:rsidP="002E66D6">
      <w:pPr>
        <w:numPr>
          <w:ilvl w:val="0"/>
          <w:numId w:val="1"/>
        </w:numPr>
        <w:spacing w:after="0" w:line="360" w:lineRule="auto"/>
        <w:ind w:left="0" w:firstLine="720"/>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щодо порядку застосування переговорної процедури закупівлі;</w:t>
      </w:r>
    </w:p>
    <w:p w:rsidR="00B008B9" w:rsidRPr="004212E5" w:rsidRDefault="00B008B9" w:rsidP="002E66D6">
      <w:pPr>
        <w:numPr>
          <w:ilvl w:val="0"/>
          <w:numId w:val="1"/>
        </w:numPr>
        <w:spacing w:after="0" w:line="360" w:lineRule="auto"/>
        <w:ind w:left="0" w:firstLine="720"/>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щодо права замовника прийняти рішення про відмову учаснику в участі у процедурі закупівлі та його зобов’язання відхилити пропозицію конкурсних торгів учасника;</w:t>
      </w:r>
    </w:p>
    <w:p w:rsidR="00B008B9" w:rsidRPr="004212E5" w:rsidRDefault="00B008B9" w:rsidP="002E66D6">
      <w:pPr>
        <w:numPr>
          <w:ilvl w:val="0"/>
          <w:numId w:val="1"/>
        </w:numPr>
        <w:spacing w:after="0" w:line="360" w:lineRule="auto"/>
        <w:ind w:left="0" w:firstLine="720"/>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щодо зміни істотних умов договору про закупівлю;</w:t>
      </w:r>
    </w:p>
    <w:p w:rsidR="00B008B9" w:rsidRPr="004212E5" w:rsidRDefault="00B008B9" w:rsidP="002E66D6">
      <w:pPr>
        <w:numPr>
          <w:ilvl w:val="0"/>
          <w:numId w:val="1"/>
        </w:numPr>
        <w:spacing w:after="0" w:line="360" w:lineRule="auto"/>
        <w:ind w:left="0" w:firstLine="720"/>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щодо здійснення процедур закупівель замовниками у розумінні Закону та Закону України “Про особливості здійснення закупівель в окремих сферах господарської діяльності”;</w:t>
      </w:r>
    </w:p>
    <w:p w:rsidR="00B008B9" w:rsidRPr="004212E5" w:rsidRDefault="00B008B9" w:rsidP="002E66D6">
      <w:pPr>
        <w:numPr>
          <w:ilvl w:val="0"/>
          <w:numId w:val="1"/>
        </w:numPr>
        <w:spacing w:after="0" w:line="360" w:lineRule="auto"/>
        <w:ind w:left="0" w:firstLine="720"/>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щодо оприлюднення повідомлення про внесення змін до договору та звіту про виконання договору та іншої інформації про закупівлю на веб-порталі Уповноваженого органу (у тому числі відповідно до вимог Господарського кодексу України);</w:t>
      </w:r>
    </w:p>
    <w:p w:rsidR="00B008B9" w:rsidRPr="004212E5" w:rsidRDefault="00B008B9" w:rsidP="002E66D6">
      <w:pPr>
        <w:numPr>
          <w:ilvl w:val="0"/>
          <w:numId w:val="1"/>
        </w:numPr>
        <w:spacing w:after="0" w:line="360" w:lineRule="auto"/>
        <w:ind w:left="0" w:firstLine="720"/>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щодо не поширення дії Закону на закупівлю послуг фінансових установ, в тому числі міжнародних фінансових організацій, пов’язаних із залученням кредитних ресурсів та коштів до статутного капіталу замовником;</w:t>
      </w:r>
    </w:p>
    <w:p w:rsidR="00B008B9" w:rsidRPr="004212E5" w:rsidRDefault="00B008B9" w:rsidP="002E66D6">
      <w:pPr>
        <w:numPr>
          <w:ilvl w:val="0"/>
          <w:numId w:val="1"/>
        </w:numPr>
        <w:spacing w:after="0" w:line="360" w:lineRule="auto"/>
        <w:ind w:left="0" w:firstLine="720"/>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 xml:space="preserve">щодо здійснення процедур закупівель у разі застосування санкцій у зв’язку із розпорядженням Кабінету Міністрів України від 11.09.2014 № 829-р </w:t>
      </w:r>
      <w:r w:rsidRPr="004212E5">
        <w:rPr>
          <w:rFonts w:ascii="Times New Roman" w:hAnsi="Times New Roman" w:cs="Times New Roman"/>
          <w:sz w:val="28"/>
          <w:szCs w:val="28"/>
          <w:lang w:eastAsia="uk-UA"/>
        </w:rPr>
        <w:br/>
        <w:t>“Про пропозиції щодо застосування персональних спеціальних економічних та інших обмежувальних заходів”;</w:t>
      </w:r>
    </w:p>
    <w:p w:rsidR="00B008B9" w:rsidRPr="004212E5" w:rsidRDefault="00B008B9" w:rsidP="002E66D6">
      <w:pPr>
        <w:numPr>
          <w:ilvl w:val="0"/>
          <w:numId w:val="1"/>
        </w:numPr>
        <w:spacing w:after="0" w:line="360" w:lineRule="auto"/>
        <w:ind w:left="0" w:firstLine="720"/>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щодо закупівлі природного газу та послуг з розподілу природного газу;</w:t>
      </w:r>
    </w:p>
    <w:p w:rsidR="00B008B9" w:rsidRPr="004212E5" w:rsidRDefault="00B008B9" w:rsidP="002E66D6">
      <w:pPr>
        <w:numPr>
          <w:ilvl w:val="0"/>
          <w:numId w:val="1"/>
        </w:numPr>
        <w:spacing w:after="0" w:line="360" w:lineRule="auto"/>
        <w:ind w:left="0" w:firstLine="720"/>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щодо застосування статей 17, 23, 31 Закону;</w:t>
      </w:r>
    </w:p>
    <w:p w:rsidR="00B008B9" w:rsidRPr="004212E5" w:rsidRDefault="00B008B9" w:rsidP="002E66D6">
      <w:pPr>
        <w:numPr>
          <w:ilvl w:val="0"/>
          <w:numId w:val="1"/>
        </w:numPr>
        <w:spacing w:after="0" w:line="360" w:lineRule="auto"/>
        <w:ind w:left="0" w:firstLine="720"/>
        <w:jc w:val="both"/>
        <w:outlineLvl w:val="0"/>
        <w:rPr>
          <w:rFonts w:ascii="Times New Roman" w:hAnsi="Times New Roman" w:cs="Times New Roman"/>
          <w:sz w:val="28"/>
          <w:szCs w:val="28"/>
          <w:lang w:eastAsia="uk-UA"/>
        </w:rPr>
      </w:pPr>
      <w:r w:rsidRPr="004212E5">
        <w:rPr>
          <w:rFonts w:ascii="Times New Roman" w:hAnsi="Times New Roman" w:cs="Times New Roman"/>
          <w:sz w:val="28"/>
          <w:szCs w:val="28"/>
          <w:lang w:eastAsia="uk-UA"/>
        </w:rPr>
        <w:t>щодо застосування  пілот</w:t>
      </w:r>
      <w:r>
        <w:rPr>
          <w:rFonts w:ascii="Times New Roman" w:hAnsi="Times New Roman" w:cs="Times New Roman"/>
          <w:sz w:val="28"/>
          <w:szCs w:val="28"/>
          <w:lang w:eastAsia="uk-UA"/>
        </w:rPr>
        <w:t xml:space="preserve">ного проекту стосовно </w:t>
      </w:r>
      <w:r w:rsidRPr="004212E5">
        <w:rPr>
          <w:rFonts w:ascii="Times New Roman" w:hAnsi="Times New Roman" w:cs="Times New Roman"/>
          <w:sz w:val="28"/>
          <w:szCs w:val="28"/>
          <w:lang w:eastAsia="uk-UA"/>
        </w:rPr>
        <w:t>впровадження  процедури електронних закупівель товарів;</w:t>
      </w:r>
    </w:p>
    <w:p w:rsidR="00B008B9" w:rsidRPr="004212E5" w:rsidRDefault="00B008B9" w:rsidP="002E66D6">
      <w:pPr>
        <w:numPr>
          <w:ilvl w:val="0"/>
          <w:numId w:val="1"/>
        </w:numPr>
        <w:spacing w:after="0" w:line="360" w:lineRule="auto"/>
        <w:ind w:left="0" w:firstLine="720"/>
        <w:jc w:val="both"/>
        <w:outlineLvl w:val="0"/>
        <w:rPr>
          <w:rFonts w:ascii="Times New Roman" w:hAnsi="Times New Roman" w:cs="Times New Roman"/>
          <w:sz w:val="28"/>
          <w:szCs w:val="28"/>
          <w:lang w:eastAsia="uk-UA"/>
        </w:rPr>
      </w:pPr>
      <w:r w:rsidRPr="004212E5">
        <w:rPr>
          <w:rFonts w:ascii="Times New Roman" w:hAnsi="Times New Roman" w:cs="Times New Roman"/>
          <w:sz w:val="28"/>
          <w:szCs w:val="28"/>
          <w:lang w:eastAsia="uk-UA"/>
        </w:rPr>
        <w:t>щодо оскарження процедур закупівель;</w:t>
      </w:r>
    </w:p>
    <w:p w:rsidR="00B008B9" w:rsidRPr="004212E5" w:rsidRDefault="00B008B9" w:rsidP="002E66D6">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20"/>
        <w:jc w:val="both"/>
        <w:textAlignment w:val="baseline"/>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Pr="004212E5">
        <w:rPr>
          <w:rFonts w:ascii="Times New Roman" w:hAnsi="Times New Roman" w:cs="Times New Roman"/>
          <w:sz w:val="28"/>
          <w:szCs w:val="28"/>
          <w:lang w:eastAsia="uk-UA"/>
        </w:rPr>
        <w:t>щодо виправлення технічних (механічних) помилок, допущених комітетом з конкурсних торгів при заповненні форм документів у сфері державних закупівель після їх  оприлюднення на веб-порталі Уповноваженого орган</w:t>
      </w:r>
      <w:r>
        <w:rPr>
          <w:rFonts w:ascii="Times New Roman" w:hAnsi="Times New Roman" w:cs="Times New Roman"/>
          <w:sz w:val="28"/>
          <w:szCs w:val="28"/>
          <w:lang w:eastAsia="uk-UA"/>
        </w:rPr>
        <w:t>у</w:t>
      </w:r>
      <w:r w:rsidRPr="004212E5">
        <w:rPr>
          <w:rFonts w:ascii="Times New Roman" w:hAnsi="Times New Roman" w:cs="Times New Roman"/>
          <w:sz w:val="28"/>
          <w:szCs w:val="28"/>
          <w:lang w:eastAsia="uk-UA"/>
        </w:rPr>
        <w:t xml:space="preserve"> ;</w:t>
      </w:r>
    </w:p>
    <w:p w:rsidR="00B008B9" w:rsidRPr="004212E5" w:rsidRDefault="00B008B9" w:rsidP="002E66D6">
      <w:pPr>
        <w:numPr>
          <w:ilvl w:val="0"/>
          <w:numId w:val="1"/>
        </w:numPr>
        <w:spacing w:after="0" w:line="360" w:lineRule="auto"/>
        <w:ind w:left="0" w:firstLine="720"/>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щодо застосування Порядку визначення предмета закупівлі.</w:t>
      </w: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Відповідно до пункту 4 частини другої статт</w:t>
      </w:r>
      <w:r>
        <w:rPr>
          <w:rFonts w:ascii="Times New Roman" w:hAnsi="Times New Roman" w:cs="Times New Roman"/>
          <w:sz w:val="28"/>
          <w:szCs w:val="28"/>
          <w:lang w:eastAsia="uk-UA"/>
        </w:rPr>
        <w:t>і 8 Закону Міністерством  на початку</w:t>
      </w:r>
      <w:r w:rsidRPr="004212E5">
        <w:rPr>
          <w:rFonts w:ascii="Times New Roman" w:hAnsi="Times New Roman" w:cs="Times New Roman"/>
          <w:sz w:val="28"/>
          <w:szCs w:val="28"/>
          <w:lang w:eastAsia="uk-UA"/>
        </w:rPr>
        <w:t xml:space="preserve"> 2015 року проводився моніторинг державних закупівель, порядок здійснення якого встановлений наказом Мінекономрозвитку від 19.10.2011</w:t>
      </w:r>
      <w:r>
        <w:rPr>
          <w:rFonts w:ascii="Times New Roman" w:hAnsi="Times New Roman" w:cs="Times New Roman"/>
          <w:sz w:val="28"/>
          <w:szCs w:val="28"/>
          <w:lang w:eastAsia="uk-UA"/>
        </w:rPr>
        <w:t xml:space="preserve">            </w:t>
      </w:r>
      <w:r w:rsidRPr="004212E5">
        <w:rPr>
          <w:rFonts w:ascii="Times New Roman" w:hAnsi="Times New Roman" w:cs="Times New Roman"/>
          <w:sz w:val="28"/>
          <w:szCs w:val="28"/>
          <w:lang w:eastAsia="uk-UA"/>
        </w:rPr>
        <w:t xml:space="preserve"> № 155, зареєстрованим в Міністерстві юстиції України 01.12.2011 за № 1377/20115.</w:t>
      </w:r>
    </w:p>
    <w:p w:rsidR="00B008B9" w:rsidRPr="004212E5" w:rsidRDefault="00B008B9" w:rsidP="002E66D6">
      <w:pPr>
        <w:spacing w:after="0" w:line="360" w:lineRule="auto"/>
        <w:ind w:firstLine="709"/>
        <w:jc w:val="both"/>
        <w:rPr>
          <w:rFonts w:ascii="Times New Roman" w:eastAsia="MS Mincho" w:hAnsi="Times New Roman" w:cs="Times New Roman"/>
          <w:sz w:val="28"/>
          <w:szCs w:val="28"/>
          <w:lang w:eastAsia="ja-JP"/>
        </w:rPr>
      </w:pPr>
      <w:r>
        <w:rPr>
          <w:rFonts w:ascii="Times New Roman" w:hAnsi="Times New Roman" w:cs="Times New Roman"/>
          <w:sz w:val="28"/>
          <w:szCs w:val="28"/>
        </w:rPr>
        <w:t>Законом</w:t>
      </w:r>
      <w:r w:rsidRPr="0063305B">
        <w:rPr>
          <w:rFonts w:ascii="Times New Roman" w:hAnsi="Times New Roman" w:cs="Times New Roman"/>
          <w:sz w:val="28"/>
          <w:szCs w:val="28"/>
        </w:rPr>
        <w:t xml:space="preserve"> України від 15.09.2015</w:t>
      </w:r>
      <w:r>
        <w:rPr>
          <w:rFonts w:ascii="Times New Roman" w:hAnsi="Times New Roman" w:cs="Times New Roman"/>
          <w:sz w:val="28"/>
          <w:szCs w:val="28"/>
        </w:rPr>
        <w:t xml:space="preserve"> р. </w:t>
      </w:r>
      <w:r w:rsidRPr="0063305B">
        <w:rPr>
          <w:rFonts w:ascii="Times New Roman" w:hAnsi="Times New Roman" w:cs="Times New Roman"/>
          <w:sz w:val="28"/>
          <w:szCs w:val="28"/>
        </w:rPr>
        <w:t>№ 679-19  “Про внесення змін до деяких законів України у сфері державних закупівель щодо приведення їх у відповідність з міжнародними стандартами та вжитт</w:t>
      </w:r>
      <w:r>
        <w:rPr>
          <w:rFonts w:ascii="Times New Roman" w:hAnsi="Times New Roman" w:cs="Times New Roman"/>
          <w:sz w:val="28"/>
          <w:szCs w:val="28"/>
        </w:rPr>
        <w:t xml:space="preserve">я заходів з подолання корупції” </w:t>
      </w:r>
      <w:r w:rsidRPr="00BB4638">
        <w:rPr>
          <w:rFonts w:ascii="Times New Roman" w:hAnsi="Times New Roman" w:cs="Times New Roman"/>
          <w:sz w:val="28"/>
          <w:szCs w:val="28"/>
          <w:lang w:eastAsia="uk-UA"/>
        </w:rPr>
        <w:t xml:space="preserve">внесено зміни, згідно з якими функцію </w:t>
      </w:r>
      <w:r w:rsidRPr="004212E5">
        <w:rPr>
          <w:rFonts w:ascii="Times New Roman" w:hAnsi="Times New Roman" w:cs="Times New Roman"/>
          <w:sz w:val="28"/>
          <w:szCs w:val="28"/>
          <w:lang w:eastAsia="uk-UA"/>
        </w:rPr>
        <w:t xml:space="preserve">моніторингу закупівель передано центральному органу виконавчої влади, що реалізує державну політику у сфері державного фінансового </w:t>
      </w:r>
      <w:r>
        <w:rPr>
          <w:rFonts w:ascii="Times New Roman" w:hAnsi="Times New Roman" w:cs="Times New Roman"/>
          <w:sz w:val="28"/>
          <w:szCs w:val="28"/>
          <w:lang w:eastAsia="uk-UA"/>
        </w:rPr>
        <w:t>контролю.</w:t>
      </w:r>
      <w:r w:rsidRPr="004212E5">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p>
    <w:p w:rsidR="00B008B9" w:rsidRPr="004212E5" w:rsidRDefault="00B008B9" w:rsidP="002E66D6">
      <w:pPr>
        <w:spacing w:after="0" w:line="360" w:lineRule="auto"/>
        <w:ind w:firstLine="709"/>
        <w:jc w:val="both"/>
        <w:rPr>
          <w:rFonts w:ascii="Times New Roman" w:hAnsi="Times New Roman" w:cs="Times New Roman"/>
          <w:sz w:val="28"/>
          <w:szCs w:val="28"/>
          <w:lang w:eastAsia="uk-UA"/>
        </w:rPr>
      </w:pPr>
      <w:r w:rsidRPr="004212E5">
        <w:rPr>
          <w:rFonts w:ascii="Times New Roman" w:hAnsi="Times New Roman" w:cs="Times New Roman"/>
          <w:sz w:val="28"/>
          <w:szCs w:val="28"/>
          <w:lang w:eastAsia="uk-UA"/>
        </w:rPr>
        <w:t xml:space="preserve">Водночас Мінекономрозвитку здійснюється активна робота в частині  міжнародного співробітництва з питань державних закупівель. </w:t>
      </w:r>
    </w:p>
    <w:p w:rsidR="00B008B9" w:rsidRPr="004212E5" w:rsidRDefault="00B008B9" w:rsidP="002E66D6">
      <w:pPr>
        <w:spacing w:after="0" w:line="360" w:lineRule="auto"/>
        <w:ind w:firstLine="709"/>
        <w:jc w:val="both"/>
        <w:rPr>
          <w:rFonts w:ascii="Times New Roman" w:eastAsia="MS Mincho" w:hAnsi="Times New Roman" w:cs="Times New Roman"/>
          <w:sz w:val="28"/>
          <w:szCs w:val="28"/>
          <w:lang w:eastAsia="ja-JP"/>
        </w:rPr>
      </w:pPr>
      <w:r w:rsidRPr="004212E5">
        <w:rPr>
          <w:rFonts w:ascii="Times New Roman" w:hAnsi="Times New Roman" w:cs="Times New Roman"/>
          <w:sz w:val="28"/>
          <w:szCs w:val="28"/>
          <w:lang w:eastAsia="uk-UA"/>
        </w:rPr>
        <w:t xml:space="preserve">Так, з метою подальшого наближення законодавства України у сфері державних закупівель до законодавства ЄС шляхом його гармонізації відповідно до найкращих світових практик та досягнення умови стосовно розвитку ринкової </w:t>
      </w:r>
      <w:r w:rsidRPr="004212E5">
        <w:rPr>
          <w:rFonts w:ascii="Times New Roman" w:eastAsia="MS Mincho" w:hAnsi="Times New Roman" w:cs="Times New Roman"/>
          <w:sz w:val="28"/>
          <w:szCs w:val="28"/>
          <w:lang w:eastAsia="ja-JP"/>
        </w:rPr>
        <w:t>економіки Міністерство активно співпрацює з міжнародними організаціями, зокрема з експертами Європейського банку реконструкції та розвитку, Світового банку, Єврокомісії, експертами проекту технічної допомоги ЄС “Гармонізація системи державних закупівель України зі стандартами ЄС”.</w:t>
      </w:r>
    </w:p>
    <w:p w:rsidR="00B008B9" w:rsidRPr="004212E5" w:rsidRDefault="00B008B9" w:rsidP="002E66D6">
      <w:pPr>
        <w:spacing w:after="0" w:line="360" w:lineRule="auto"/>
        <w:ind w:firstLine="709"/>
        <w:jc w:val="both"/>
        <w:rPr>
          <w:rFonts w:ascii="Times New Roman" w:eastAsia="MS Mincho" w:hAnsi="Times New Roman" w:cs="Times New Roman"/>
          <w:sz w:val="28"/>
          <w:szCs w:val="28"/>
          <w:lang w:eastAsia="ja-JP"/>
        </w:rPr>
      </w:pPr>
      <w:r w:rsidRPr="004212E5">
        <w:rPr>
          <w:rFonts w:ascii="Times New Roman" w:hAnsi="Times New Roman" w:cs="Times New Roman"/>
          <w:sz w:val="28"/>
          <w:szCs w:val="28"/>
          <w:lang w:eastAsia="uk-UA"/>
        </w:rPr>
        <w:t xml:space="preserve">Поряд з цим, у звітному періоді Мінекономрозвитку брало активну участь у переговорних процесах щодо створення вільної торгівлі між Україною та Канадою та щодо </w:t>
      </w:r>
      <w:r w:rsidRPr="004212E5">
        <w:rPr>
          <w:rFonts w:ascii="Times New Roman" w:eastAsia="MS Mincho" w:hAnsi="Times New Roman" w:cs="Times New Roman"/>
          <w:sz w:val="28"/>
          <w:szCs w:val="28"/>
          <w:lang w:eastAsia="ja-JP"/>
        </w:rPr>
        <w:t xml:space="preserve">приєднання України до Угоди СОТ про державні закупівлі (далі – УДЗ). </w:t>
      </w:r>
    </w:p>
    <w:p w:rsidR="00B008B9" w:rsidRPr="00DA2902" w:rsidRDefault="00B008B9" w:rsidP="00DA2902">
      <w:pPr>
        <w:spacing w:after="0" w:line="360" w:lineRule="auto"/>
        <w:ind w:firstLine="709"/>
        <w:jc w:val="both"/>
        <w:rPr>
          <w:rFonts w:ascii="Times New Roman" w:hAnsi="Times New Roman" w:cs="Times New Roman"/>
          <w:sz w:val="28"/>
          <w:szCs w:val="28"/>
          <w:lang w:eastAsia="uk-UA"/>
        </w:rPr>
      </w:pPr>
      <w:r w:rsidRPr="00DA2902">
        <w:rPr>
          <w:rFonts w:ascii="Times New Roman" w:hAnsi="Times New Roman" w:cs="Times New Roman"/>
          <w:sz w:val="28"/>
          <w:szCs w:val="28"/>
          <w:lang w:eastAsia="uk-UA"/>
        </w:rPr>
        <w:t>Протягом 2015 року Міністерством було підготовлено та подано фінальну пропозицію щодо приєднання України до УДЗ, за результатами розгляду якої 11 листопада 2015 року Комітетом СОТ з питань державних закупівель було прийнято рішення про приєднання України до УДЗ.</w:t>
      </w:r>
    </w:p>
    <w:p w:rsidR="00B008B9" w:rsidRPr="00661AC7" w:rsidRDefault="00B008B9" w:rsidP="00DA2902">
      <w:pPr>
        <w:spacing w:after="0" w:line="360" w:lineRule="auto"/>
        <w:ind w:firstLine="709"/>
        <w:jc w:val="both"/>
        <w:rPr>
          <w:rFonts w:ascii="Times New Roman" w:eastAsia="MS Mincho" w:hAnsi="Times New Roman" w:cs="Times New Roman"/>
          <w:sz w:val="28"/>
          <w:szCs w:val="28"/>
          <w:lang w:val="ru-RU" w:eastAsia="ja-JP"/>
        </w:rPr>
      </w:pPr>
      <w:r w:rsidRPr="00DA2902">
        <w:rPr>
          <w:rFonts w:ascii="Times New Roman" w:hAnsi="Times New Roman" w:cs="Times New Roman"/>
          <w:sz w:val="28"/>
          <w:szCs w:val="28"/>
          <w:lang w:eastAsia="uk-UA"/>
        </w:rPr>
        <w:t>Така подія має вагоме значення для подальшого розвитку економіки країни, оскільки після ратифікації Україною відповідного документу українські компанії одержать доступ</w:t>
      </w:r>
      <w:r w:rsidRPr="004212E5">
        <w:rPr>
          <w:rFonts w:ascii="Times New Roman" w:eastAsia="MS Mincho" w:hAnsi="Times New Roman" w:cs="Times New Roman"/>
          <w:sz w:val="28"/>
          <w:szCs w:val="28"/>
          <w:lang w:eastAsia="ja-JP"/>
        </w:rPr>
        <w:t xml:space="preserve"> до комерційних можливостей державних закупівель країн-членів Угоди, загальний обсяг яких перевищує 1,7 трлн дол. США</w:t>
      </w:r>
      <w:r>
        <w:rPr>
          <w:rFonts w:ascii="Times New Roman" w:eastAsia="MS Mincho" w:hAnsi="Times New Roman" w:cs="Times New Roman"/>
          <w:sz w:val="28"/>
          <w:szCs w:val="28"/>
          <w:lang w:eastAsia="ja-JP"/>
        </w:rPr>
        <w:t xml:space="preserve">           </w:t>
      </w:r>
      <w:r w:rsidRPr="004212E5">
        <w:rPr>
          <w:rFonts w:ascii="Times New Roman" w:eastAsia="MS Mincho" w:hAnsi="Times New Roman" w:cs="Times New Roman"/>
          <w:sz w:val="28"/>
          <w:szCs w:val="28"/>
          <w:lang w:eastAsia="ja-JP"/>
        </w:rPr>
        <w:t xml:space="preserve"> (</w:t>
      </w:r>
      <w:r w:rsidRPr="004212E5">
        <w:rPr>
          <w:rFonts w:ascii="Times New Roman" w:hAnsi="Times New Roman" w:cs="Times New Roman"/>
          <w:sz w:val="28"/>
          <w:szCs w:val="28"/>
          <w:lang w:eastAsia="uk-UA"/>
        </w:rPr>
        <w:t>44 країни-члени, включаючи 28 країн ЄС, а також США, Японію, Канаду, Гонконг-Китай, Сінгапур, Корею та інші</w:t>
      </w:r>
      <w:r w:rsidRPr="004212E5">
        <w:rPr>
          <w:rFonts w:ascii="Times New Roman" w:eastAsia="MS Mincho" w:hAnsi="Times New Roman" w:cs="Times New Roman"/>
          <w:sz w:val="28"/>
          <w:szCs w:val="28"/>
          <w:lang w:eastAsia="ja-JP"/>
        </w:rPr>
        <w:t>).</w:t>
      </w:r>
    </w:p>
    <w:p w:rsidR="00B008B9" w:rsidRPr="00D433DE" w:rsidRDefault="00B008B9" w:rsidP="002E66D6">
      <w:pPr>
        <w:spacing w:line="360" w:lineRule="auto"/>
        <w:ind w:firstLine="709"/>
        <w:jc w:val="both"/>
        <w:rPr>
          <w:rFonts w:ascii="Times New Roman" w:eastAsia="MS Mincho" w:hAnsi="Times New Roman" w:cs="Times New Roman"/>
          <w:sz w:val="28"/>
          <w:szCs w:val="28"/>
          <w:lang w:val="ru-RU" w:eastAsia="ja-JP"/>
        </w:rPr>
      </w:pPr>
      <w:bookmarkStart w:id="0" w:name="_GoBack"/>
      <w:bookmarkEnd w:id="0"/>
    </w:p>
    <w:p w:rsidR="00B008B9" w:rsidRPr="00470666" w:rsidRDefault="00B008B9" w:rsidP="00D433DE">
      <w:pPr>
        <w:spacing w:after="0" w:line="240" w:lineRule="auto"/>
        <w:outlineLvl w:val="0"/>
        <w:rPr>
          <w:rFonts w:ascii="Times New Roman" w:hAnsi="Times New Roman" w:cs="Times New Roman"/>
          <w:b/>
          <w:bCs/>
          <w:snapToGrid w:val="0"/>
          <w:sz w:val="28"/>
          <w:szCs w:val="28"/>
          <w:lang w:eastAsia="uk-UA"/>
        </w:rPr>
      </w:pPr>
      <w:r w:rsidRPr="00470666">
        <w:rPr>
          <w:rFonts w:ascii="Times New Roman" w:hAnsi="Times New Roman" w:cs="Times New Roman"/>
          <w:b/>
          <w:bCs/>
          <w:snapToGrid w:val="0"/>
          <w:sz w:val="28"/>
          <w:szCs w:val="28"/>
          <w:lang w:eastAsia="uk-UA"/>
        </w:rPr>
        <w:t xml:space="preserve">Заступник Міністра економічного </w:t>
      </w:r>
      <w:r w:rsidRPr="00D433DE">
        <w:rPr>
          <w:rFonts w:ascii="Times New Roman" w:hAnsi="Times New Roman" w:cs="Times New Roman"/>
          <w:b/>
          <w:bCs/>
          <w:snapToGrid w:val="0"/>
          <w:sz w:val="28"/>
          <w:szCs w:val="28"/>
          <w:lang w:val="ru-RU" w:eastAsia="uk-UA"/>
        </w:rPr>
        <w:br/>
      </w:r>
      <w:r w:rsidRPr="00470666">
        <w:rPr>
          <w:rFonts w:ascii="Times New Roman" w:hAnsi="Times New Roman" w:cs="Times New Roman"/>
          <w:b/>
          <w:bCs/>
          <w:snapToGrid w:val="0"/>
          <w:sz w:val="28"/>
          <w:szCs w:val="28"/>
          <w:lang w:eastAsia="uk-UA"/>
        </w:rPr>
        <w:t xml:space="preserve">розвитку і торгівлі України                           </w:t>
      </w:r>
      <w:r>
        <w:rPr>
          <w:rFonts w:ascii="Times New Roman" w:hAnsi="Times New Roman" w:cs="Times New Roman"/>
          <w:b/>
          <w:bCs/>
          <w:snapToGrid w:val="0"/>
          <w:sz w:val="28"/>
          <w:szCs w:val="28"/>
          <w:lang w:eastAsia="uk-UA"/>
        </w:rPr>
        <w:tab/>
      </w:r>
      <w:r>
        <w:rPr>
          <w:rFonts w:ascii="Times New Roman" w:hAnsi="Times New Roman" w:cs="Times New Roman"/>
          <w:b/>
          <w:bCs/>
          <w:snapToGrid w:val="0"/>
          <w:sz w:val="28"/>
          <w:szCs w:val="28"/>
          <w:lang w:eastAsia="uk-UA"/>
        </w:rPr>
        <w:tab/>
        <w:t xml:space="preserve">       </w:t>
      </w:r>
      <w:r w:rsidRPr="00470666">
        <w:rPr>
          <w:rFonts w:ascii="Times New Roman" w:hAnsi="Times New Roman" w:cs="Times New Roman"/>
          <w:b/>
          <w:bCs/>
          <w:snapToGrid w:val="0"/>
          <w:sz w:val="28"/>
          <w:szCs w:val="28"/>
          <w:lang w:eastAsia="uk-UA"/>
        </w:rPr>
        <w:t>Максим НЕФЬОДОВ</w:t>
      </w:r>
    </w:p>
    <w:p w:rsidR="00B008B9" w:rsidRPr="00D433DE" w:rsidRDefault="00B008B9" w:rsidP="002E66D6">
      <w:pPr>
        <w:spacing w:line="360" w:lineRule="auto"/>
        <w:ind w:firstLine="709"/>
        <w:jc w:val="both"/>
        <w:rPr>
          <w:rFonts w:ascii="Times New Roman" w:eastAsia="MS Mincho" w:hAnsi="Times New Roman" w:cs="Times New Roman"/>
          <w:sz w:val="28"/>
          <w:szCs w:val="28"/>
          <w:lang w:val="ru-RU" w:eastAsia="ja-JP"/>
        </w:rPr>
      </w:pPr>
    </w:p>
    <w:p w:rsidR="00B008B9" w:rsidRPr="00D433DE" w:rsidRDefault="00B008B9" w:rsidP="002E66D6">
      <w:pPr>
        <w:spacing w:line="360" w:lineRule="auto"/>
        <w:ind w:firstLine="709"/>
        <w:jc w:val="both"/>
        <w:rPr>
          <w:rFonts w:ascii="Times New Roman" w:eastAsia="MS Mincho" w:hAnsi="Times New Roman" w:cs="Times New Roman"/>
          <w:sz w:val="28"/>
          <w:szCs w:val="28"/>
          <w:lang w:val="ru-RU" w:eastAsia="ja-JP"/>
        </w:rPr>
      </w:pPr>
    </w:p>
    <w:sectPr w:rsidR="00B008B9" w:rsidRPr="00D433DE" w:rsidSect="00F8707E">
      <w:headerReference w:type="default" r:id="rId1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8B9" w:rsidRDefault="00B008B9" w:rsidP="00685650">
      <w:pPr>
        <w:spacing w:after="0" w:line="240" w:lineRule="auto"/>
      </w:pPr>
      <w:r>
        <w:separator/>
      </w:r>
    </w:p>
  </w:endnote>
  <w:endnote w:type="continuationSeparator" w:id="0">
    <w:p w:rsidR="00B008B9" w:rsidRDefault="00B008B9" w:rsidP="00685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8B9" w:rsidRDefault="00B008B9" w:rsidP="00685650">
      <w:pPr>
        <w:spacing w:after="0" w:line="240" w:lineRule="auto"/>
      </w:pPr>
      <w:r>
        <w:separator/>
      </w:r>
    </w:p>
  </w:footnote>
  <w:footnote w:type="continuationSeparator" w:id="0">
    <w:p w:rsidR="00B008B9" w:rsidRDefault="00B008B9" w:rsidP="00685650">
      <w:pPr>
        <w:spacing w:after="0" w:line="240" w:lineRule="auto"/>
      </w:pPr>
      <w:r>
        <w:continuationSeparator/>
      </w:r>
    </w:p>
  </w:footnote>
  <w:footnote w:id="1">
    <w:p w:rsidR="00B008B9" w:rsidRDefault="00B008B9" w:rsidP="00685650">
      <w:pPr>
        <w:pStyle w:val="FootnoteText"/>
        <w:jc w:val="both"/>
      </w:pPr>
      <w:r w:rsidRPr="0081444F">
        <w:rPr>
          <w:rStyle w:val="FootnoteReference"/>
          <w:sz w:val="18"/>
          <w:szCs w:val="18"/>
        </w:rPr>
        <w:footnoteRef/>
      </w:r>
      <w:r w:rsidRPr="0081444F">
        <w:rPr>
          <w:sz w:val="18"/>
          <w:szCs w:val="18"/>
        </w:rPr>
        <w:t xml:space="preserve">Перевищення кількості оголошень про результати процедур закупівель над кількістю оголошень про заплановані процедури закупівель пов’язане з тим, що на відміну від оголошень про заплановану закупівлю, у разі проведення закупівлі за декількома лотами, Законом передбачена можливість розміщення оголошень про результати закупівлі за окремими лотами.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B9" w:rsidRDefault="00B008B9">
    <w:pPr>
      <w:pStyle w:val="Header"/>
      <w:jc w:val="center"/>
    </w:pPr>
    <w:fldSimple w:instr="PAGE   \* MERGEFORMAT">
      <w:r>
        <w:rPr>
          <w:noProof/>
        </w:rPr>
        <w:t>22</w:t>
      </w:r>
    </w:fldSimple>
  </w:p>
  <w:p w:rsidR="00B008B9" w:rsidRDefault="00B008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96DC9"/>
    <w:multiLevelType w:val="hybridMultilevel"/>
    <w:tmpl w:val="2E68AD7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1A916C1C"/>
    <w:multiLevelType w:val="hybridMultilevel"/>
    <w:tmpl w:val="62E2D52A"/>
    <w:lvl w:ilvl="0" w:tplc="EA6E14A4">
      <w:start w:val="1"/>
      <w:numFmt w:val="bullet"/>
      <w:lvlText w:val=""/>
      <w:lvlJc w:val="left"/>
      <w:pPr>
        <w:tabs>
          <w:tab w:val="num" w:pos="1072"/>
        </w:tabs>
        <w:ind w:left="1429"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
    <w:nsid w:val="30560886"/>
    <w:multiLevelType w:val="hybridMultilevel"/>
    <w:tmpl w:val="59B4C600"/>
    <w:lvl w:ilvl="0" w:tplc="1A1E50B4">
      <w:start w:val="1"/>
      <w:numFmt w:val="bullet"/>
      <w:lvlText w:val="-"/>
      <w:lvlJc w:val="left"/>
      <w:pPr>
        <w:tabs>
          <w:tab w:val="num" w:pos="1080"/>
        </w:tabs>
        <w:ind w:left="1080" w:hanging="360"/>
      </w:pPr>
      <w:rPr>
        <w:rFonts w:ascii="Trebuchet MS" w:hAnsi="Trebuchet M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30D7667F"/>
    <w:multiLevelType w:val="hybridMultilevel"/>
    <w:tmpl w:val="E6480F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2843952"/>
    <w:multiLevelType w:val="multilevel"/>
    <w:tmpl w:val="2E68AD7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67416EEE"/>
    <w:multiLevelType w:val="hybridMultilevel"/>
    <w:tmpl w:val="E662D256"/>
    <w:lvl w:ilvl="0" w:tplc="1A1E50B4">
      <w:start w:val="1"/>
      <w:numFmt w:val="bullet"/>
      <w:lvlText w:val="-"/>
      <w:lvlJc w:val="left"/>
      <w:pPr>
        <w:tabs>
          <w:tab w:val="num" w:pos="1080"/>
        </w:tabs>
        <w:ind w:left="1080" w:hanging="360"/>
      </w:pPr>
      <w:rPr>
        <w:rFonts w:ascii="Trebuchet MS" w:hAnsi="Trebuchet M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7B45"/>
    <w:rsid w:val="00000030"/>
    <w:rsid w:val="000005FB"/>
    <w:rsid w:val="00002A97"/>
    <w:rsid w:val="000047CD"/>
    <w:rsid w:val="00015FE5"/>
    <w:rsid w:val="00020323"/>
    <w:rsid w:val="00020FC4"/>
    <w:rsid w:val="00021688"/>
    <w:rsid w:val="00021BB2"/>
    <w:rsid w:val="00026782"/>
    <w:rsid w:val="00040BE4"/>
    <w:rsid w:val="000507F2"/>
    <w:rsid w:val="00054497"/>
    <w:rsid w:val="00063242"/>
    <w:rsid w:val="00065FBF"/>
    <w:rsid w:val="00072545"/>
    <w:rsid w:val="00075E7F"/>
    <w:rsid w:val="00080A04"/>
    <w:rsid w:val="00080CFD"/>
    <w:rsid w:val="0008117F"/>
    <w:rsid w:val="000868BF"/>
    <w:rsid w:val="00086DE6"/>
    <w:rsid w:val="00090526"/>
    <w:rsid w:val="000A48B5"/>
    <w:rsid w:val="000A6652"/>
    <w:rsid w:val="000B374B"/>
    <w:rsid w:val="000B61EE"/>
    <w:rsid w:val="000B640C"/>
    <w:rsid w:val="000B6727"/>
    <w:rsid w:val="000B673D"/>
    <w:rsid w:val="000C68D0"/>
    <w:rsid w:val="000C7244"/>
    <w:rsid w:val="000D2B11"/>
    <w:rsid w:val="000D2D60"/>
    <w:rsid w:val="000D5369"/>
    <w:rsid w:val="000D5CBC"/>
    <w:rsid w:val="000D7DB9"/>
    <w:rsid w:val="000E52B4"/>
    <w:rsid w:val="000E6DF9"/>
    <w:rsid w:val="000F04E0"/>
    <w:rsid w:val="000F48BE"/>
    <w:rsid w:val="000F6C81"/>
    <w:rsid w:val="00104FEE"/>
    <w:rsid w:val="001060A6"/>
    <w:rsid w:val="0011234E"/>
    <w:rsid w:val="00114444"/>
    <w:rsid w:val="00116F85"/>
    <w:rsid w:val="0012163A"/>
    <w:rsid w:val="001223C7"/>
    <w:rsid w:val="00122435"/>
    <w:rsid w:val="00123C1F"/>
    <w:rsid w:val="00131359"/>
    <w:rsid w:val="001345D6"/>
    <w:rsid w:val="00134CED"/>
    <w:rsid w:val="0014221D"/>
    <w:rsid w:val="0014469E"/>
    <w:rsid w:val="001469B3"/>
    <w:rsid w:val="00151F4E"/>
    <w:rsid w:val="00151FF0"/>
    <w:rsid w:val="00153933"/>
    <w:rsid w:val="0015503C"/>
    <w:rsid w:val="0016055D"/>
    <w:rsid w:val="0016492A"/>
    <w:rsid w:val="001649AC"/>
    <w:rsid w:val="00164A5F"/>
    <w:rsid w:val="00166B05"/>
    <w:rsid w:val="00172E7F"/>
    <w:rsid w:val="00173F8B"/>
    <w:rsid w:val="0017690E"/>
    <w:rsid w:val="001777E5"/>
    <w:rsid w:val="001803BC"/>
    <w:rsid w:val="001832CC"/>
    <w:rsid w:val="0018413C"/>
    <w:rsid w:val="00186E30"/>
    <w:rsid w:val="0018707D"/>
    <w:rsid w:val="00190447"/>
    <w:rsid w:val="00192A94"/>
    <w:rsid w:val="00193915"/>
    <w:rsid w:val="001A3EAC"/>
    <w:rsid w:val="001A5874"/>
    <w:rsid w:val="001B068B"/>
    <w:rsid w:val="001B080B"/>
    <w:rsid w:val="001B5C4E"/>
    <w:rsid w:val="001C1BA2"/>
    <w:rsid w:val="001C2818"/>
    <w:rsid w:val="001C2F04"/>
    <w:rsid w:val="001C3AB5"/>
    <w:rsid w:val="001C414D"/>
    <w:rsid w:val="001C465E"/>
    <w:rsid w:val="001C4786"/>
    <w:rsid w:val="001C4E59"/>
    <w:rsid w:val="001D02F1"/>
    <w:rsid w:val="001D3308"/>
    <w:rsid w:val="001D42B3"/>
    <w:rsid w:val="001D469A"/>
    <w:rsid w:val="001D581B"/>
    <w:rsid w:val="001D649B"/>
    <w:rsid w:val="001D721D"/>
    <w:rsid w:val="001E2941"/>
    <w:rsid w:val="001E39B3"/>
    <w:rsid w:val="001F371A"/>
    <w:rsid w:val="001F5C3E"/>
    <w:rsid w:val="001F744A"/>
    <w:rsid w:val="002028D9"/>
    <w:rsid w:val="00202A8F"/>
    <w:rsid w:val="00206E19"/>
    <w:rsid w:val="00207420"/>
    <w:rsid w:val="002075AB"/>
    <w:rsid w:val="00210332"/>
    <w:rsid w:val="00211302"/>
    <w:rsid w:val="0021523F"/>
    <w:rsid w:val="0021525A"/>
    <w:rsid w:val="00220270"/>
    <w:rsid w:val="00237529"/>
    <w:rsid w:val="00241C1A"/>
    <w:rsid w:val="00245F1C"/>
    <w:rsid w:val="00247E59"/>
    <w:rsid w:val="00254B61"/>
    <w:rsid w:val="00263129"/>
    <w:rsid w:val="0027012E"/>
    <w:rsid w:val="00271188"/>
    <w:rsid w:val="00284666"/>
    <w:rsid w:val="00290B71"/>
    <w:rsid w:val="00292971"/>
    <w:rsid w:val="00292EA4"/>
    <w:rsid w:val="00295F57"/>
    <w:rsid w:val="00296597"/>
    <w:rsid w:val="002A10BA"/>
    <w:rsid w:val="002A5E26"/>
    <w:rsid w:val="002A7028"/>
    <w:rsid w:val="002B5D64"/>
    <w:rsid w:val="002B6BDD"/>
    <w:rsid w:val="002C0301"/>
    <w:rsid w:val="002C1587"/>
    <w:rsid w:val="002C211D"/>
    <w:rsid w:val="002C320F"/>
    <w:rsid w:val="002C3529"/>
    <w:rsid w:val="002C4A50"/>
    <w:rsid w:val="002C58F5"/>
    <w:rsid w:val="002C68A5"/>
    <w:rsid w:val="002D0A0F"/>
    <w:rsid w:val="002D5C55"/>
    <w:rsid w:val="002E00CE"/>
    <w:rsid w:val="002E02AA"/>
    <w:rsid w:val="002E0758"/>
    <w:rsid w:val="002E6582"/>
    <w:rsid w:val="002E66D6"/>
    <w:rsid w:val="002E7F31"/>
    <w:rsid w:val="002F0320"/>
    <w:rsid w:val="002F30B1"/>
    <w:rsid w:val="002F5E2F"/>
    <w:rsid w:val="002F62B0"/>
    <w:rsid w:val="002F65BD"/>
    <w:rsid w:val="002F7D8E"/>
    <w:rsid w:val="00301923"/>
    <w:rsid w:val="00306624"/>
    <w:rsid w:val="003104AE"/>
    <w:rsid w:val="00310AB9"/>
    <w:rsid w:val="0031573D"/>
    <w:rsid w:val="00315DBF"/>
    <w:rsid w:val="003219F0"/>
    <w:rsid w:val="00327434"/>
    <w:rsid w:val="003335C6"/>
    <w:rsid w:val="00333E61"/>
    <w:rsid w:val="00334F5D"/>
    <w:rsid w:val="00335BC5"/>
    <w:rsid w:val="00336646"/>
    <w:rsid w:val="00336B37"/>
    <w:rsid w:val="00337FE3"/>
    <w:rsid w:val="0034131D"/>
    <w:rsid w:val="003424D4"/>
    <w:rsid w:val="00342D24"/>
    <w:rsid w:val="00346218"/>
    <w:rsid w:val="00346AC5"/>
    <w:rsid w:val="003538B1"/>
    <w:rsid w:val="00353F14"/>
    <w:rsid w:val="00354154"/>
    <w:rsid w:val="0035440D"/>
    <w:rsid w:val="00355DC0"/>
    <w:rsid w:val="0035706C"/>
    <w:rsid w:val="00363644"/>
    <w:rsid w:val="00370C4B"/>
    <w:rsid w:val="003710B3"/>
    <w:rsid w:val="00371443"/>
    <w:rsid w:val="00374BB7"/>
    <w:rsid w:val="00374BD1"/>
    <w:rsid w:val="00376A07"/>
    <w:rsid w:val="00377970"/>
    <w:rsid w:val="003802FE"/>
    <w:rsid w:val="00384F8A"/>
    <w:rsid w:val="00392821"/>
    <w:rsid w:val="003941E7"/>
    <w:rsid w:val="00397A57"/>
    <w:rsid w:val="00397EB3"/>
    <w:rsid w:val="003A16AC"/>
    <w:rsid w:val="003B0881"/>
    <w:rsid w:val="003B12A5"/>
    <w:rsid w:val="003B3E85"/>
    <w:rsid w:val="003B47E0"/>
    <w:rsid w:val="003B7B45"/>
    <w:rsid w:val="003C4DB3"/>
    <w:rsid w:val="003D0171"/>
    <w:rsid w:val="003E1377"/>
    <w:rsid w:val="003E1CC1"/>
    <w:rsid w:val="003E2F3E"/>
    <w:rsid w:val="003E4662"/>
    <w:rsid w:val="003E4EFD"/>
    <w:rsid w:val="003F3027"/>
    <w:rsid w:val="003F33B5"/>
    <w:rsid w:val="003F56D7"/>
    <w:rsid w:val="003F74D9"/>
    <w:rsid w:val="004068CA"/>
    <w:rsid w:val="00406C43"/>
    <w:rsid w:val="00407AB4"/>
    <w:rsid w:val="00407D56"/>
    <w:rsid w:val="00411C3A"/>
    <w:rsid w:val="0041312C"/>
    <w:rsid w:val="0041371F"/>
    <w:rsid w:val="004174FA"/>
    <w:rsid w:val="004212E5"/>
    <w:rsid w:val="004224F3"/>
    <w:rsid w:val="00423416"/>
    <w:rsid w:val="00426B6B"/>
    <w:rsid w:val="00431415"/>
    <w:rsid w:val="00432815"/>
    <w:rsid w:val="00432AEA"/>
    <w:rsid w:val="0044036E"/>
    <w:rsid w:val="004427B6"/>
    <w:rsid w:val="00442E01"/>
    <w:rsid w:val="00443597"/>
    <w:rsid w:val="00444D18"/>
    <w:rsid w:val="00447DDD"/>
    <w:rsid w:val="004520D5"/>
    <w:rsid w:val="004538AE"/>
    <w:rsid w:val="004565E5"/>
    <w:rsid w:val="00462810"/>
    <w:rsid w:val="00462945"/>
    <w:rsid w:val="004645E7"/>
    <w:rsid w:val="0046648C"/>
    <w:rsid w:val="00470666"/>
    <w:rsid w:val="00491B0D"/>
    <w:rsid w:val="004A0572"/>
    <w:rsid w:val="004A06DE"/>
    <w:rsid w:val="004A7A48"/>
    <w:rsid w:val="004B12E1"/>
    <w:rsid w:val="004B1418"/>
    <w:rsid w:val="004B6FB3"/>
    <w:rsid w:val="004C0957"/>
    <w:rsid w:val="004C2E66"/>
    <w:rsid w:val="004C4286"/>
    <w:rsid w:val="004C596A"/>
    <w:rsid w:val="004D21F1"/>
    <w:rsid w:val="004D66A2"/>
    <w:rsid w:val="004D6BDD"/>
    <w:rsid w:val="004D718C"/>
    <w:rsid w:val="004E1387"/>
    <w:rsid w:val="004E1451"/>
    <w:rsid w:val="004E2C45"/>
    <w:rsid w:val="004E300E"/>
    <w:rsid w:val="004E4C16"/>
    <w:rsid w:val="004E5671"/>
    <w:rsid w:val="004F16C8"/>
    <w:rsid w:val="00500232"/>
    <w:rsid w:val="0050285C"/>
    <w:rsid w:val="00502BFE"/>
    <w:rsid w:val="0050322E"/>
    <w:rsid w:val="00505856"/>
    <w:rsid w:val="0050611E"/>
    <w:rsid w:val="0051436F"/>
    <w:rsid w:val="0051665E"/>
    <w:rsid w:val="0052003E"/>
    <w:rsid w:val="00524819"/>
    <w:rsid w:val="005262B6"/>
    <w:rsid w:val="00530C8D"/>
    <w:rsid w:val="0053269E"/>
    <w:rsid w:val="005331DD"/>
    <w:rsid w:val="00533256"/>
    <w:rsid w:val="00534D00"/>
    <w:rsid w:val="005359D9"/>
    <w:rsid w:val="00537E0E"/>
    <w:rsid w:val="0054095F"/>
    <w:rsid w:val="005479E6"/>
    <w:rsid w:val="00552953"/>
    <w:rsid w:val="005531DE"/>
    <w:rsid w:val="00564BF5"/>
    <w:rsid w:val="0056579F"/>
    <w:rsid w:val="00566A5D"/>
    <w:rsid w:val="00570412"/>
    <w:rsid w:val="00574324"/>
    <w:rsid w:val="005755C7"/>
    <w:rsid w:val="00581C04"/>
    <w:rsid w:val="005910F3"/>
    <w:rsid w:val="00592451"/>
    <w:rsid w:val="00592DAE"/>
    <w:rsid w:val="005941C7"/>
    <w:rsid w:val="00595647"/>
    <w:rsid w:val="005969A6"/>
    <w:rsid w:val="005A0CE6"/>
    <w:rsid w:val="005A1F52"/>
    <w:rsid w:val="005A2688"/>
    <w:rsid w:val="005A2BAE"/>
    <w:rsid w:val="005A33B2"/>
    <w:rsid w:val="005B1AB0"/>
    <w:rsid w:val="005B619C"/>
    <w:rsid w:val="005C03C4"/>
    <w:rsid w:val="005C1161"/>
    <w:rsid w:val="005C47B5"/>
    <w:rsid w:val="005C5802"/>
    <w:rsid w:val="005C59C2"/>
    <w:rsid w:val="005D1316"/>
    <w:rsid w:val="005D1A23"/>
    <w:rsid w:val="005D21EE"/>
    <w:rsid w:val="005D7FAD"/>
    <w:rsid w:val="005E2C54"/>
    <w:rsid w:val="005E623F"/>
    <w:rsid w:val="005E62F9"/>
    <w:rsid w:val="005E6702"/>
    <w:rsid w:val="005F25CB"/>
    <w:rsid w:val="005F4B12"/>
    <w:rsid w:val="006036A8"/>
    <w:rsid w:val="00606F47"/>
    <w:rsid w:val="00615879"/>
    <w:rsid w:val="00617D60"/>
    <w:rsid w:val="00620475"/>
    <w:rsid w:val="00622751"/>
    <w:rsid w:val="00622954"/>
    <w:rsid w:val="00626D66"/>
    <w:rsid w:val="00627DF0"/>
    <w:rsid w:val="0063305B"/>
    <w:rsid w:val="00635285"/>
    <w:rsid w:val="00636743"/>
    <w:rsid w:val="0063766A"/>
    <w:rsid w:val="0064201A"/>
    <w:rsid w:val="00642F35"/>
    <w:rsid w:val="0064686C"/>
    <w:rsid w:val="006517EE"/>
    <w:rsid w:val="00661AC7"/>
    <w:rsid w:val="00664F33"/>
    <w:rsid w:val="00666AB5"/>
    <w:rsid w:val="006738CA"/>
    <w:rsid w:val="00673D25"/>
    <w:rsid w:val="00675650"/>
    <w:rsid w:val="00676902"/>
    <w:rsid w:val="006803A7"/>
    <w:rsid w:val="00685650"/>
    <w:rsid w:val="00685FBF"/>
    <w:rsid w:val="00690F29"/>
    <w:rsid w:val="006911A3"/>
    <w:rsid w:val="00695F34"/>
    <w:rsid w:val="006A0183"/>
    <w:rsid w:val="006A0B49"/>
    <w:rsid w:val="006A5DA0"/>
    <w:rsid w:val="006A7B8A"/>
    <w:rsid w:val="006C21B4"/>
    <w:rsid w:val="006C380F"/>
    <w:rsid w:val="006C7279"/>
    <w:rsid w:val="006C7C9E"/>
    <w:rsid w:val="006D18CD"/>
    <w:rsid w:val="006D2BF4"/>
    <w:rsid w:val="006D50FF"/>
    <w:rsid w:val="006E3072"/>
    <w:rsid w:val="006E3549"/>
    <w:rsid w:val="006E48F5"/>
    <w:rsid w:val="006E5807"/>
    <w:rsid w:val="006E71DD"/>
    <w:rsid w:val="006F07F8"/>
    <w:rsid w:val="006F0A17"/>
    <w:rsid w:val="006F5153"/>
    <w:rsid w:val="006F6A00"/>
    <w:rsid w:val="00700439"/>
    <w:rsid w:val="00701216"/>
    <w:rsid w:val="00703457"/>
    <w:rsid w:val="0071271D"/>
    <w:rsid w:val="00713CEF"/>
    <w:rsid w:val="007144FE"/>
    <w:rsid w:val="007204A0"/>
    <w:rsid w:val="007229E2"/>
    <w:rsid w:val="0072497F"/>
    <w:rsid w:val="00725085"/>
    <w:rsid w:val="007252CC"/>
    <w:rsid w:val="0072768A"/>
    <w:rsid w:val="0073012B"/>
    <w:rsid w:val="007324B1"/>
    <w:rsid w:val="007339E6"/>
    <w:rsid w:val="00733B38"/>
    <w:rsid w:val="00737DFB"/>
    <w:rsid w:val="007459BA"/>
    <w:rsid w:val="007469E8"/>
    <w:rsid w:val="00755C5B"/>
    <w:rsid w:val="007570AA"/>
    <w:rsid w:val="00764658"/>
    <w:rsid w:val="00767207"/>
    <w:rsid w:val="0077196C"/>
    <w:rsid w:val="0077346C"/>
    <w:rsid w:val="00782D1A"/>
    <w:rsid w:val="007835D8"/>
    <w:rsid w:val="007836B8"/>
    <w:rsid w:val="00783DF0"/>
    <w:rsid w:val="0079033D"/>
    <w:rsid w:val="00792934"/>
    <w:rsid w:val="00792A31"/>
    <w:rsid w:val="007B0C7B"/>
    <w:rsid w:val="007C301C"/>
    <w:rsid w:val="007C4BFD"/>
    <w:rsid w:val="007C5383"/>
    <w:rsid w:val="007C5922"/>
    <w:rsid w:val="007C70F3"/>
    <w:rsid w:val="007D0C97"/>
    <w:rsid w:val="007D5433"/>
    <w:rsid w:val="007D5CB5"/>
    <w:rsid w:val="007D6838"/>
    <w:rsid w:val="007D7561"/>
    <w:rsid w:val="007D79CD"/>
    <w:rsid w:val="007E1004"/>
    <w:rsid w:val="007E358B"/>
    <w:rsid w:val="007E36CE"/>
    <w:rsid w:val="007E3DE7"/>
    <w:rsid w:val="007F1234"/>
    <w:rsid w:val="007F29F9"/>
    <w:rsid w:val="007F416B"/>
    <w:rsid w:val="007F45C2"/>
    <w:rsid w:val="007F5CCF"/>
    <w:rsid w:val="007F6CD4"/>
    <w:rsid w:val="007F6F29"/>
    <w:rsid w:val="00802543"/>
    <w:rsid w:val="00806B62"/>
    <w:rsid w:val="00812265"/>
    <w:rsid w:val="0081444F"/>
    <w:rsid w:val="00817489"/>
    <w:rsid w:val="0081764A"/>
    <w:rsid w:val="00817BE7"/>
    <w:rsid w:val="0082510A"/>
    <w:rsid w:val="00825C9C"/>
    <w:rsid w:val="008325D2"/>
    <w:rsid w:val="00834EA2"/>
    <w:rsid w:val="0083544A"/>
    <w:rsid w:val="00836A4A"/>
    <w:rsid w:val="00845EE1"/>
    <w:rsid w:val="00847AAE"/>
    <w:rsid w:val="008510EE"/>
    <w:rsid w:val="00851EA5"/>
    <w:rsid w:val="00851F06"/>
    <w:rsid w:val="00857AEB"/>
    <w:rsid w:val="00860663"/>
    <w:rsid w:val="00861BBC"/>
    <w:rsid w:val="00865CD4"/>
    <w:rsid w:val="00871654"/>
    <w:rsid w:val="00873015"/>
    <w:rsid w:val="008734D0"/>
    <w:rsid w:val="008744C7"/>
    <w:rsid w:val="0088183B"/>
    <w:rsid w:val="00886CF6"/>
    <w:rsid w:val="00891A8A"/>
    <w:rsid w:val="00897064"/>
    <w:rsid w:val="008A0D3D"/>
    <w:rsid w:val="008A2A43"/>
    <w:rsid w:val="008A4975"/>
    <w:rsid w:val="008B4025"/>
    <w:rsid w:val="008C00C3"/>
    <w:rsid w:val="008C3AEB"/>
    <w:rsid w:val="008C403E"/>
    <w:rsid w:val="008C4ACB"/>
    <w:rsid w:val="008D0178"/>
    <w:rsid w:val="008D02A6"/>
    <w:rsid w:val="008D1A37"/>
    <w:rsid w:val="008D22E4"/>
    <w:rsid w:val="008D670D"/>
    <w:rsid w:val="008E0026"/>
    <w:rsid w:val="008E09C4"/>
    <w:rsid w:val="008E16EB"/>
    <w:rsid w:val="008E5876"/>
    <w:rsid w:val="008E5BC6"/>
    <w:rsid w:val="008E76C6"/>
    <w:rsid w:val="008F1B76"/>
    <w:rsid w:val="008F4051"/>
    <w:rsid w:val="008F4F4C"/>
    <w:rsid w:val="008F55C5"/>
    <w:rsid w:val="008F5923"/>
    <w:rsid w:val="00902F71"/>
    <w:rsid w:val="0090573F"/>
    <w:rsid w:val="009131E5"/>
    <w:rsid w:val="00913782"/>
    <w:rsid w:val="00917CF2"/>
    <w:rsid w:val="00925907"/>
    <w:rsid w:val="00927000"/>
    <w:rsid w:val="00934ABC"/>
    <w:rsid w:val="00935F5C"/>
    <w:rsid w:val="00947CC1"/>
    <w:rsid w:val="0095654D"/>
    <w:rsid w:val="009567F8"/>
    <w:rsid w:val="0095684E"/>
    <w:rsid w:val="0095790A"/>
    <w:rsid w:val="009617D9"/>
    <w:rsid w:val="00967EFD"/>
    <w:rsid w:val="0097097D"/>
    <w:rsid w:val="00971CF7"/>
    <w:rsid w:val="00974B60"/>
    <w:rsid w:val="00976AE7"/>
    <w:rsid w:val="009770EA"/>
    <w:rsid w:val="00980B74"/>
    <w:rsid w:val="0098782F"/>
    <w:rsid w:val="00990528"/>
    <w:rsid w:val="00995D8F"/>
    <w:rsid w:val="00996B92"/>
    <w:rsid w:val="009A135C"/>
    <w:rsid w:val="009A497F"/>
    <w:rsid w:val="009B1C1A"/>
    <w:rsid w:val="009C1478"/>
    <w:rsid w:val="009C2EDF"/>
    <w:rsid w:val="009C3111"/>
    <w:rsid w:val="009D09AD"/>
    <w:rsid w:val="009D1964"/>
    <w:rsid w:val="009D3197"/>
    <w:rsid w:val="009D3469"/>
    <w:rsid w:val="009D529A"/>
    <w:rsid w:val="009D7AE8"/>
    <w:rsid w:val="009E04CF"/>
    <w:rsid w:val="009E1BED"/>
    <w:rsid w:val="009E3C33"/>
    <w:rsid w:val="009E5A04"/>
    <w:rsid w:val="009E5BE5"/>
    <w:rsid w:val="009F044E"/>
    <w:rsid w:val="009F3220"/>
    <w:rsid w:val="009F3CBB"/>
    <w:rsid w:val="009F5B23"/>
    <w:rsid w:val="009F7C6E"/>
    <w:rsid w:val="00A026BE"/>
    <w:rsid w:val="00A04C52"/>
    <w:rsid w:val="00A0678A"/>
    <w:rsid w:val="00A12BA3"/>
    <w:rsid w:val="00A12E15"/>
    <w:rsid w:val="00A14AB4"/>
    <w:rsid w:val="00A20921"/>
    <w:rsid w:val="00A2118E"/>
    <w:rsid w:val="00A25FAD"/>
    <w:rsid w:val="00A306F6"/>
    <w:rsid w:val="00A34E02"/>
    <w:rsid w:val="00A40259"/>
    <w:rsid w:val="00A4178B"/>
    <w:rsid w:val="00A4248F"/>
    <w:rsid w:val="00A501CA"/>
    <w:rsid w:val="00A50A2E"/>
    <w:rsid w:val="00A52189"/>
    <w:rsid w:val="00A53887"/>
    <w:rsid w:val="00A54DD0"/>
    <w:rsid w:val="00A556E8"/>
    <w:rsid w:val="00A57292"/>
    <w:rsid w:val="00A57330"/>
    <w:rsid w:val="00A57913"/>
    <w:rsid w:val="00A629CE"/>
    <w:rsid w:val="00A65F84"/>
    <w:rsid w:val="00A737B7"/>
    <w:rsid w:val="00A7480D"/>
    <w:rsid w:val="00A777EE"/>
    <w:rsid w:val="00A82200"/>
    <w:rsid w:val="00A827F4"/>
    <w:rsid w:val="00A92A51"/>
    <w:rsid w:val="00A93E52"/>
    <w:rsid w:val="00A9455E"/>
    <w:rsid w:val="00AA2A92"/>
    <w:rsid w:val="00AA2E3C"/>
    <w:rsid w:val="00AB00FB"/>
    <w:rsid w:val="00AB22B4"/>
    <w:rsid w:val="00AB31E3"/>
    <w:rsid w:val="00AB6521"/>
    <w:rsid w:val="00AC069C"/>
    <w:rsid w:val="00AC1D98"/>
    <w:rsid w:val="00AC444D"/>
    <w:rsid w:val="00AD1BDA"/>
    <w:rsid w:val="00AD74AE"/>
    <w:rsid w:val="00AE3923"/>
    <w:rsid w:val="00AE5E9D"/>
    <w:rsid w:val="00AE6FDA"/>
    <w:rsid w:val="00AF34D4"/>
    <w:rsid w:val="00AF6041"/>
    <w:rsid w:val="00B00344"/>
    <w:rsid w:val="00B008B9"/>
    <w:rsid w:val="00B0206F"/>
    <w:rsid w:val="00B02DCC"/>
    <w:rsid w:val="00B045A2"/>
    <w:rsid w:val="00B111A3"/>
    <w:rsid w:val="00B13309"/>
    <w:rsid w:val="00B14074"/>
    <w:rsid w:val="00B141CD"/>
    <w:rsid w:val="00B1475D"/>
    <w:rsid w:val="00B159E9"/>
    <w:rsid w:val="00B20C48"/>
    <w:rsid w:val="00B233FE"/>
    <w:rsid w:val="00B247A1"/>
    <w:rsid w:val="00B30FD5"/>
    <w:rsid w:val="00B32E59"/>
    <w:rsid w:val="00B33A07"/>
    <w:rsid w:val="00B41015"/>
    <w:rsid w:val="00B43A61"/>
    <w:rsid w:val="00B45B17"/>
    <w:rsid w:val="00B62E55"/>
    <w:rsid w:val="00B63302"/>
    <w:rsid w:val="00B7496B"/>
    <w:rsid w:val="00B757FF"/>
    <w:rsid w:val="00B769F5"/>
    <w:rsid w:val="00B803DB"/>
    <w:rsid w:val="00B804A4"/>
    <w:rsid w:val="00B82AA3"/>
    <w:rsid w:val="00B8322A"/>
    <w:rsid w:val="00B83F20"/>
    <w:rsid w:val="00B84C15"/>
    <w:rsid w:val="00B84F9B"/>
    <w:rsid w:val="00B85988"/>
    <w:rsid w:val="00B87E76"/>
    <w:rsid w:val="00B924E0"/>
    <w:rsid w:val="00B976B5"/>
    <w:rsid w:val="00BA2A05"/>
    <w:rsid w:val="00BA6B96"/>
    <w:rsid w:val="00BB1ACB"/>
    <w:rsid w:val="00BB4638"/>
    <w:rsid w:val="00BB72AD"/>
    <w:rsid w:val="00BB72E1"/>
    <w:rsid w:val="00BC7FCA"/>
    <w:rsid w:val="00BD7106"/>
    <w:rsid w:val="00BE1773"/>
    <w:rsid w:val="00BE1AFA"/>
    <w:rsid w:val="00BE263A"/>
    <w:rsid w:val="00BE470A"/>
    <w:rsid w:val="00BE5F4C"/>
    <w:rsid w:val="00BF7844"/>
    <w:rsid w:val="00C00872"/>
    <w:rsid w:val="00C04A34"/>
    <w:rsid w:val="00C151C3"/>
    <w:rsid w:val="00C20960"/>
    <w:rsid w:val="00C23038"/>
    <w:rsid w:val="00C3761B"/>
    <w:rsid w:val="00C44576"/>
    <w:rsid w:val="00C461B1"/>
    <w:rsid w:val="00C474DC"/>
    <w:rsid w:val="00C53A5D"/>
    <w:rsid w:val="00C57B22"/>
    <w:rsid w:val="00C64DE6"/>
    <w:rsid w:val="00C670EE"/>
    <w:rsid w:val="00C76998"/>
    <w:rsid w:val="00C80E11"/>
    <w:rsid w:val="00C81796"/>
    <w:rsid w:val="00C81CC7"/>
    <w:rsid w:val="00C81EDA"/>
    <w:rsid w:val="00C84FF0"/>
    <w:rsid w:val="00C8504A"/>
    <w:rsid w:val="00C851ED"/>
    <w:rsid w:val="00C900DE"/>
    <w:rsid w:val="00C92BBB"/>
    <w:rsid w:val="00C941BA"/>
    <w:rsid w:val="00CA68D3"/>
    <w:rsid w:val="00CB09C6"/>
    <w:rsid w:val="00CB2F74"/>
    <w:rsid w:val="00CB51E8"/>
    <w:rsid w:val="00CC10C2"/>
    <w:rsid w:val="00CC5B2A"/>
    <w:rsid w:val="00CD02E2"/>
    <w:rsid w:val="00CD1B2C"/>
    <w:rsid w:val="00CD24A8"/>
    <w:rsid w:val="00CD3FD9"/>
    <w:rsid w:val="00CE4686"/>
    <w:rsid w:val="00CE47D4"/>
    <w:rsid w:val="00CE4837"/>
    <w:rsid w:val="00CE5C30"/>
    <w:rsid w:val="00CE7005"/>
    <w:rsid w:val="00CF1701"/>
    <w:rsid w:val="00CF2DB3"/>
    <w:rsid w:val="00CF48E4"/>
    <w:rsid w:val="00CF5233"/>
    <w:rsid w:val="00CF781C"/>
    <w:rsid w:val="00D00AA3"/>
    <w:rsid w:val="00D016C0"/>
    <w:rsid w:val="00D0179F"/>
    <w:rsid w:val="00D052BE"/>
    <w:rsid w:val="00D14225"/>
    <w:rsid w:val="00D15679"/>
    <w:rsid w:val="00D15AA9"/>
    <w:rsid w:val="00D17968"/>
    <w:rsid w:val="00D227CB"/>
    <w:rsid w:val="00D242A2"/>
    <w:rsid w:val="00D26843"/>
    <w:rsid w:val="00D27AF9"/>
    <w:rsid w:val="00D307A7"/>
    <w:rsid w:val="00D34357"/>
    <w:rsid w:val="00D378CE"/>
    <w:rsid w:val="00D3798B"/>
    <w:rsid w:val="00D433DE"/>
    <w:rsid w:val="00D442AD"/>
    <w:rsid w:val="00D46494"/>
    <w:rsid w:val="00D51167"/>
    <w:rsid w:val="00D52E2B"/>
    <w:rsid w:val="00D54135"/>
    <w:rsid w:val="00D5621B"/>
    <w:rsid w:val="00D63C38"/>
    <w:rsid w:val="00D70135"/>
    <w:rsid w:val="00D8132D"/>
    <w:rsid w:val="00D82B6B"/>
    <w:rsid w:val="00D85FF2"/>
    <w:rsid w:val="00DA27BF"/>
    <w:rsid w:val="00DA2902"/>
    <w:rsid w:val="00DA33E6"/>
    <w:rsid w:val="00DA4A5C"/>
    <w:rsid w:val="00DB4625"/>
    <w:rsid w:val="00DB74EF"/>
    <w:rsid w:val="00DB7827"/>
    <w:rsid w:val="00DC0245"/>
    <w:rsid w:val="00DC4947"/>
    <w:rsid w:val="00DC5123"/>
    <w:rsid w:val="00DD305B"/>
    <w:rsid w:val="00DD52A7"/>
    <w:rsid w:val="00DD548C"/>
    <w:rsid w:val="00DE0699"/>
    <w:rsid w:val="00DE284D"/>
    <w:rsid w:val="00DE4668"/>
    <w:rsid w:val="00DE50AC"/>
    <w:rsid w:val="00DF7E60"/>
    <w:rsid w:val="00E06684"/>
    <w:rsid w:val="00E07F37"/>
    <w:rsid w:val="00E10406"/>
    <w:rsid w:val="00E10685"/>
    <w:rsid w:val="00E10F29"/>
    <w:rsid w:val="00E20633"/>
    <w:rsid w:val="00E41BDA"/>
    <w:rsid w:val="00E42F47"/>
    <w:rsid w:val="00E442F8"/>
    <w:rsid w:val="00E45B97"/>
    <w:rsid w:val="00E463CE"/>
    <w:rsid w:val="00E52E35"/>
    <w:rsid w:val="00E52FB1"/>
    <w:rsid w:val="00E538DB"/>
    <w:rsid w:val="00E55353"/>
    <w:rsid w:val="00E565A9"/>
    <w:rsid w:val="00E56B37"/>
    <w:rsid w:val="00E6020D"/>
    <w:rsid w:val="00E63CA4"/>
    <w:rsid w:val="00E6406C"/>
    <w:rsid w:val="00E70A49"/>
    <w:rsid w:val="00E72246"/>
    <w:rsid w:val="00E72DB6"/>
    <w:rsid w:val="00E73BCF"/>
    <w:rsid w:val="00E7479F"/>
    <w:rsid w:val="00E74B1F"/>
    <w:rsid w:val="00E758F4"/>
    <w:rsid w:val="00E973E3"/>
    <w:rsid w:val="00E97A37"/>
    <w:rsid w:val="00EA2870"/>
    <w:rsid w:val="00EA4E9B"/>
    <w:rsid w:val="00EA5E10"/>
    <w:rsid w:val="00EB1A99"/>
    <w:rsid w:val="00EB2017"/>
    <w:rsid w:val="00EB5297"/>
    <w:rsid w:val="00EC3B83"/>
    <w:rsid w:val="00EC7254"/>
    <w:rsid w:val="00EC779C"/>
    <w:rsid w:val="00ED24A4"/>
    <w:rsid w:val="00ED3075"/>
    <w:rsid w:val="00ED33FF"/>
    <w:rsid w:val="00ED352A"/>
    <w:rsid w:val="00ED4C17"/>
    <w:rsid w:val="00ED4DD1"/>
    <w:rsid w:val="00EE01A3"/>
    <w:rsid w:val="00EE2D17"/>
    <w:rsid w:val="00EE3379"/>
    <w:rsid w:val="00EE3605"/>
    <w:rsid w:val="00EE4D3D"/>
    <w:rsid w:val="00EE750D"/>
    <w:rsid w:val="00EF61B3"/>
    <w:rsid w:val="00F018A1"/>
    <w:rsid w:val="00F02AC1"/>
    <w:rsid w:val="00F04A94"/>
    <w:rsid w:val="00F06C32"/>
    <w:rsid w:val="00F07C28"/>
    <w:rsid w:val="00F10BDF"/>
    <w:rsid w:val="00F11270"/>
    <w:rsid w:val="00F17862"/>
    <w:rsid w:val="00F24E38"/>
    <w:rsid w:val="00F2661A"/>
    <w:rsid w:val="00F308D5"/>
    <w:rsid w:val="00F34F9E"/>
    <w:rsid w:val="00F372A5"/>
    <w:rsid w:val="00F373D4"/>
    <w:rsid w:val="00F45AE5"/>
    <w:rsid w:val="00F50626"/>
    <w:rsid w:val="00F6156D"/>
    <w:rsid w:val="00F63517"/>
    <w:rsid w:val="00F63B86"/>
    <w:rsid w:val="00F64DEF"/>
    <w:rsid w:val="00F72734"/>
    <w:rsid w:val="00F85598"/>
    <w:rsid w:val="00F858ED"/>
    <w:rsid w:val="00F8707E"/>
    <w:rsid w:val="00F9565D"/>
    <w:rsid w:val="00F95893"/>
    <w:rsid w:val="00F96E3E"/>
    <w:rsid w:val="00FA2F06"/>
    <w:rsid w:val="00FA5914"/>
    <w:rsid w:val="00FA6C60"/>
    <w:rsid w:val="00FA71C3"/>
    <w:rsid w:val="00FA7E6B"/>
    <w:rsid w:val="00FB3E0F"/>
    <w:rsid w:val="00FB4DD4"/>
    <w:rsid w:val="00FB68C1"/>
    <w:rsid w:val="00FB7F65"/>
    <w:rsid w:val="00FB7FB3"/>
    <w:rsid w:val="00FC3485"/>
    <w:rsid w:val="00FC579F"/>
    <w:rsid w:val="00FC5AB0"/>
    <w:rsid w:val="00FD03B5"/>
    <w:rsid w:val="00FE32BD"/>
    <w:rsid w:val="00FE574E"/>
    <w:rsid w:val="00FE5D23"/>
    <w:rsid w:val="00FF1DD7"/>
    <w:rsid w:val="00FF22ED"/>
    <w:rsid w:val="00FF544D"/>
    <w:rsid w:val="00FF5FE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07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B7B45"/>
    <w:pPr>
      <w:spacing w:after="0" w:line="240" w:lineRule="auto"/>
    </w:pPr>
    <w:rPr>
      <w:rFonts w:ascii="Tahoma" w:hAnsi="Tahoma" w:cs="Times New Roman"/>
      <w:sz w:val="16"/>
      <w:szCs w:val="16"/>
      <w:lang w:eastAsia="uk-UA"/>
    </w:rPr>
  </w:style>
  <w:style w:type="character" w:customStyle="1" w:styleId="BalloonTextChar">
    <w:name w:val="Balloon Text Char"/>
    <w:basedOn w:val="DefaultParagraphFont"/>
    <w:link w:val="BalloonText"/>
    <w:uiPriority w:val="99"/>
    <w:semiHidden/>
    <w:locked/>
    <w:rsid w:val="003B7B45"/>
    <w:rPr>
      <w:rFonts w:ascii="Tahoma" w:hAnsi="Tahoma"/>
      <w:sz w:val="16"/>
    </w:rPr>
  </w:style>
  <w:style w:type="paragraph" w:styleId="FootnoteText">
    <w:name w:val="footnote text"/>
    <w:basedOn w:val="Normal"/>
    <w:link w:val="FootnoteTextChar"/>
    <w:uiPriority w:val="99"/>
    <w:semiHidden/>
    <w:rsid w:val="00685650"/>
    <w:pPr>
      <w:spacing w:after="0" w:line="240" w:lineRule="auto"/>
    </w:pPr>
    <w:rPr>
      <w:rFonts w:ascii="Times New Roman" w:hAnsi="Times New Roman" w:cs="Times New Roman"/>
      <w:sz w:val="20"/>
      <w:szCs w:val="20"/>
      <w:lang w:eastAsia="uk-UA"/>
    </w:rPr>
  </w:style>
  <w:style w:type="character" w:customStyle="1" w:styleId="FootnoteTextChar">
    <w:name w:val="Footnote Text Char"/>
    <w:basedOn w:val="DefaultParagraphFont"/>
    <w:link w:val="FootnoteText"/>
    <w:uiPriority w:val="99"/>
    <w:semiHidden/>
    <w:locked/>
    <w:rsid w:val="00685650"/>
    <w:rPr>
      <w:rFonts w:ascii="Times New Roman" w:hAnsi="Times New Roman"/>
      <w:sz w:val="20"/>
      <w:lang w:eastAsia="uk-UA"/>
    </w:rPr>
  </w:style>
  <w:style w:type="character" w:styleId="FootnoteReference">
    <w:name w:val="footnote reference"/>
    <w:basedOn w:val="DefaultParagraphFont"/>
    <w:uiPriority w:val="99"/>
    <w:semiHidden/>
    <w:rsid w:val="00685650"/>
    <w:rPr>
      <w:rFonts w:cs="Times New Roman"/>
      <w:vertAlign w:val="superscript"/>
    </w:rPr>
  </w:style>
  <w:style w:type="paragraph" w:customStyle="1" w:styleId="21">
    <w:name w:val="Основной текст с отступом 21"/>
    <w:basedOn w:val="Normal"/>
    <w:uiPriority w:val="99"/>
    <w:rsid w:val="005E623F"/>
    <w:pPr>
      <w:suppressAutoHyphens/>
      <w:spacing w:after="0" w:line="240" w:lineRule="auto"/>
      <w:ind w:left="349"/>
      <w:jc w:val="both"/>
    </w:pPr>
    <w:rPr>
      <w:sz w:val="32"/>
      <w:szCs w:val="32"/>
      <w:lang w:val="ru-RU" w:eastAsia="ar-SA"/>
    </w:rPr>
  </w:style>
  <w:style w:type="character" w:customStyle="1" w:styleId="apple-converted-space">
    <w:name w:val="apple-converted-space"/>
    <w:uiPriority w:val="99"/>
    <w:rsid w:val="005C47B5"/>
  </w:style>
  <w:style w:type="character" w:styleId="Hyperlink">
    <w:name w:val="Hyperlink"/>
    <w:basedOn w:val="DefaultParagraphFont"/>
    <w:uiPriority w:val="99"/>
    <w:semiHidden/>
    <w:rsid w:val="005C47B5"/>
    <w:rPr>
      <w:rFonts w:cs="Times New Roman"/>
      <w:color w:val="0000FF"/>
      <w:u w:val="single"/>
    </w:rPr>
  </w:style>
  <w:style w:type="paragraph" w:styleId="Header">
    <w:name w:val="header"/>
    <w:basedOn w:val="Normal"/>
    <w:link w:val="HeaderChar"/>
    <w:uiPriority w:val="99"/>
    <w:rsid w:val="0052003E"/>
    <w:pPr>
      <w:tabs>
        <w:tab w:val="center" w:pos="4819"/>
        <w:tab w:val="right" w:pos="9639"/>
      </w:tabs>
    </w:pPr>
    <w:rPr>
      <w:rFonts w:cs="Times New Roman"/>
    </w:rPr>
  </w:style>
  <w:style w:type="character" w:customStyle="1" w:styleId="HeaderChar">
    <w:name w:val="Header Char"/>
    <w:basedOn w:val="DefaultParagraphFont"/>
    <w:link w:val="Header"/>
    <w:uiPriority w:val="99"/>
    <w:locked/>
    <w:rsid w:val="0052003E"/>
    <w:rPr>
      <w:sz w:val="22"/>
      <w:lang w:eastAsia="en-US"/>
    </w:rPr>
  </w:style>
  <w:style w:type="paragraph" w:styleId="Footer">
    <w:name w:val="footer"/>
    <w:basedOn w:val="Normal"/>
    <w:link w:val="FooterChar"/>
    <w:uiPriority w:val="99"/>
    <w:rsid w:val="0052003E"/>
    <w:pPr>
      <w:tabs>
        <w:tab w:val="center" w:pos="4819"/>
        <w:tab w:val="right" w:pos="9639"/>
      </w:tabs>
    </w:pPr>
    <w:rPr>
      <w:rFonts w:cs="Times New Roman"/>
    </w:rPr>
  </w:style>
  <w:style w:type="character" w:customStyle="1" w:styleId="FooterChar">
    <w:name w:val="Footer Char"/>
    <w:basedOn w:val="DefaultParagraphFont"/>
    <w:link w:val="Footer"/>
    <w:uiPriority w:val="99"/>
    <w:locked/>
    <w:rsid w:val="0052003E"/>
    <w:rPr>
      <w:sz w:val="22"/>
      <w:lang w:eastAsia="en-US"/>
    </w:rPr>
  </w:style>
  <w:style w:type="character" w:styleId="Emphasis">
    <w:name w:val="Emphasis"/>
    <w:basedOn w:val="DefaultParagraphFont"/>
    <w:uiPriority w:val="99"/>
    <w:qFormat/>
    <w:rsid w:val="00DE284D"/>
    <w:rPr>
      <w:rFonts w:cs="Times New Roman"/>
      <w:i/>
    </w:rPr>
  </w:style>
  <w:style w:type="character" w:styleId="CommentReference">
    <w:name w:val="annotation reference"/>
    <w:basedOn w:val="DefaultParagraphFont"/>
    <w:uiPriority w:val="99"/>
    <w:semiHidden/>
    <w:rsid w:val="00F07C28"/>
    <w:rPr>
      <w:rFonts w:cs="Times New Roman"/>
      <w:sz w:val="16"/>
      <w:szCs w:val="16"/>
    </w:rPr>
  </w:style>
  <w:style w:type="paragraph" w:styleId="CommentText">
    <w:name w:val="annotation text"/>
    <w:basedOn w:val="Normal"/>
    <w:link w:val="CommentTextChar"/>
    <w:uiPriority w:val="99"/>
    <w:semiHidden/>
    <w:rsid w:val="00F07C2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07C28"/>
    <w:rPr>
      <w:rFonts w:cs="Calibri"/>
      <w:lang w:eastAsia="en-US"/>
    </w:rPr>
  </w:style>
  <w:style w:type="paragraph" w:styleId="CommentSubject">
    <w:name w:val="annotation subject"/>
    <w:basedOn w:val="CommentText"/>
    <w:next w:val="CommentText"/>
    <w:link w:val="CommentSubjectChar"/>
    <w:uiPriority w:val="99"/>
    <w:semiHidden/>
    <w:rsid w:val="00F07C28"/>
    <w:rPr>
      <w:b/>
      <w:bCs/>
    </w:rPr>
  </w:style>
  <w:style w:type="character" w:customStyle="1" w:styleId="CommentSubjectChar">
    <w:name w:val="Comment Subject Char"/>
    <w:basedOn w:val="CommentTextChar"/>
    <w:link w:val="CommentSubject"/>
    <w:uiPriority w:val="99"/>
    <w:semiHidden/>
    <w:locked/>
    <w:rsid w:val="00F07C28"/>
    <w:rPr>
      <w:b/>
      <w:bCs/>
    </w:rPr>
  </w:style>
</w:styles>
</file>

<file path=word/webSettings.xml><?xml version="1.0" encoding="utf-8"?>
<w:webSettings xmlns:r="http://schemas.openxmlformats.org/officeDocument/2006/relationships" xmlns:w="http://schemas.openxmlformats.org/wordprocessingml/2006/main">
  <w:divs>
    <w:div w:id="1723480109">
      <w:marLeft w:val="0"/>
      <w:marRight w:val="0"/>
      <w:marTop w:val="0"/>
      <w:marBottom w:val="0"/>
      <w:divBdr>
        <w:top w:val="none" w:sz="0" w:space="0" w:color="auto"/>
        <w:left w:val="none" w:sz="0" w:space="0" w:color="auto"/>
        <w:bottom w:val="none" w:sz="0" w:space="0" w:color="auto"/>
        <w:right w:val="none" w:sz="0" w:space="0" w:color="auto"/>
      </w:divBdr>
    </w:div>
    <w:div w:id="1723480110">
      <w:marLeft w:val="0"/>
      <w:marRight w:val="0"/>
      <w:marTop w:val="0"/>
      <w:marBottom w:val="0"/>
      <w:divBdr>
        <w:top w:val="none" w:sz="0" w:space="0" w:color="auto"/>
        <w:left w:val="none" w:sz="0" w:space="0" w:color="auto"/>
        <w:bottom w:val="none" w:sz="0" w:space="0" w:color="auto"/>
        <w:right w:val="none" w:sz="0" w:space="0" w:color="auto"/>
      </w:divBdr>
    </w:div>
    <w:div w:id="1723480111">
      <w:marLeft w:val="0"/>
      <w:marRight w:val="0"/>
      <w:marTop w:val="0"/>
      <w:marBottom w:val="0"/>
      <w:divBdr>
        <w:top w:val="none" w:sz="0" w:space="0" w:color="auto"/>
        <w:left w:val="none" w:sz="0" w:space="0" w:color="auto"/>
        <w:bottom w:val="none" w:sz="0" w:space="0" w:color="auto"/>
        <w:right w:val="none" w:sz="0" w:space="0" w:color="auto"/>
      </w:divBdr>
    </w:div>
    <w:div w:id="1723480112">
      <w:marLeft w:val="0"/>
      <w:marRight w:val="0"/>
      <w:marTop w:val="0"/>
      <w:marBottom w:val="0"/>
      <w:divBdr>
        <w:top w:val="none" w:sz="0" w:space="0" w:color="auto"/>
        <w:left w:val="none" w:sz="0" w:space="0" w:color="auto"/>
        <w:bottom w:val="none" w:sz="0" w:space="0" w:color="auto"/>
        <w:right w:val="none" w:sz="0" w:space="0" w:color="auto"/>
      </w:divBdr>
    </w:div>
    <w:div w:id="1723480113">
      <w:marLeft w:val="0"/>
      <w:marRight w:val="0"/>
      <w:marTop w:val="0"/>
      <w:marBottom w:val="0"/>
      <w:divBdr>
        <w:top w:val="none" w:sz="0" w:space="0" w:color="auto"/>
        <w:left w:val="none" w:sz="0" w:space="0" w:color="auto"/>
        <w:bottom w:val="none" w:sz="0" w:space="0" w:color="auto"/>
        <w:right w:val="none" w:sz="0" w:space="0" w:color="auto"/>
      </w:divBdr>
    </w:div>
    <w:div w:id="1723480114">
      <w:marLeft w:val="0"/>
      <w:marRight w:val="0"/>
      <w:marTop w:val="0"/>
      <w:marBottom w:val="0"/>
      <w:divBdr>
        <w:top w:val="none" w:sz="0" w:space="0" w:color="auto"/>
        <w:left w:val="none" w:sz="0" w:space="0" w:color="auto"/>
        <w:bottom w:val="none" w:sz="0" w:space="0" w:color="auto"/>
        <w:right w:val="none" w:sz="0" w:space="0" w:color="auto"/>
      </w:divBdr>
    </w:div>
    <w:div w:id="1723480115">
      <w:marLeft w:val="0"/>
      <w:marRight w:val="0"/>
      <w:marTop w:val="0"/>
      <w:marBottom w:val="0"/>
      <w:divBdr>
        <w:top w:val="none" w:sz="0" w:space="0" w:color="auto"/>
        <w:left w:val="none" w:sz="0" w:space="0" w:color="auto"/>
        <w:bottom w:val="none" w:sz="0" w:space="0" w:color="auto"/>
        <w:right w:val="none" w:sz="0" w:space="0" w:color="auto"/>
      </w:divBdr>
    </w:div>
    <w:div w:id="1723480116">
      <w:marLeft w:val="0"/>
      <w:marRight w:val="0"/>
      <w:marTop w:val="0"/>
      <w:marBottom w:val="0"/>
      <w:divBdr>
        <w:top w:val="none" w:sz="0" w:space="0" w:color="auto"/>
        <w:left w:val="none" w:sz="0" w:space="0" w:color="auto"/>
        <w:bottom w:val="none" w:sz="0" w:space="0" w:color="auto"/>
        <w:right w:val="none" w:sz="0" w:space="0" w:color="auto"/>
      </w:divBdr>
    </w:div>
    <w:div w:id="1723480117">
      <w:marLeft w:val="0"/>
      <w:marRight w:val="0"/>
      <w:marTop w:val="0"/>
      <w:marBottom w:val="0"/>
      <w:divBdr>
        <w:top w:val="none" w:sz="0" w:space="0" w:color="auto"/>
        <w:left w:val="none" w:sz="0" w:space="0" w:color="auto"/>
        <w:bottom w:val="none" w:sz="0" w:space="0" w:color="auto"/>
        <w:right w:val="none" w:sz="0" w:space="0" w:color="auto"/>
      </w:divBdr>
    </w:div>
    <w:div w:id="1723480118">
      <w:marLeft w:val="0"/>
      <w:marRight w:val="0"/>
      <w:marTop w:val="0"/>
      <w:marBottom w:val="0"/>
      <w:divBdr>
        <w:top w:val="none" w:sz="0" w:space="0" w:color="auto"/>
        <w:left w:val="none" w:sz="0" w:space="0" w:color="auto"/>
        <w:bottom w:val="none" w:sz="0" w:space="0" w:color="auto"/>
        <w:right w:val="none" w:sz="0" w:space="0" w:color="auto"/>
      </w:divBdr>
    </w:div>
    <w:div w:id="1723480119">
      <w:marLeft w:val="0"/>
      <w:marRight w:val="0"/>
      <w:marTop w:val="0"/>
      <w:marBottom w:val="0"/>
      <w:divBdr>
        <w:top w:val="none" w:sz="0" w:space="0" w:color="auto"/>
        <w:left w:val="none" w:sz="0" w:space="0" w:color="auto"/>
        <w:bottom w:val="none" w:sz="0" w:space="0" w:color="auto"/>
        <w:right w:val="none" w:sz="0" w:space="0" w:color="auto"/>
      </w:divBdr>
    </w:div>
    <w:div w:id="1723480120">
      <w:marLeft w:val="0"/>
      <w:marRight w:val="0"/>
      <w:marTop w:val="0"/>
      <w:marBottom w:val="0"/>
      <w:divBdr>
        <w:top w:val="none" w:sz="0" w:space="0" w:color="auto"/>
        <w:left w:val="none" w:sz="0" w:space="0" w:color="auto"/>
        <w:bottom w:val="none" w:sz="0" w:space="0" w:color="auto"/>
        <w:right w:val="none" w:sz="0" w:space="0" w:color="auto"/>
      </w:divBdr>
    </w:div>
    <w:div w:id="1723480121">
      <w:marLeft w:val="0"/>
      <w:marRight w:val="0"/>
      <w:marTop w:val="0"/>
      <w:marBottom w:val="0"/>
      <w:divBdr>
        <w:top w:val="none" w:sz="0" w:space="0" w:color="auto"/>
        <w:left w:val="none" w:sz="0" w:space="0" w:color="auto"/>
        <w:bottom w:val="none" w:sz="0" w:space="0" w:color="auto"/>
        <w:right w:val="none" w:sz="0" w:space="0" w:color="auto"/>
      </w:divBdr>
    </w:div>
    <w:div w:id="1723480122">
      <w:marLeft w:val="0"/>
      <w:marRight w:val="0"/>
      <w:marTop w:val="0"/>
      <w:marBottom w:val="0"/>
      <w:divBdr>
        <w:top w:val="none" w:sz="0" w:space="0" w:color="auto"/>
        <w:left w:val="none" w:sz="0" w:space="0" w:color="auto"/>
        <w:bottom w:val="none" w:sz="0" w:space="0" w:color="auto"/>
        <w:right w:val="none" w:sz="0" w:space="0" w:color="auto"/>
      </w:divBdr>
    </w:div>
    <w:div w:id="1723480123">
      <w:marLeft w:val="0"/>
      <w:marRight w:val="0"/>
      <w:marTop w:val="0"/>
      <w:marBottom w:val="0"/>
      <w:divBdr>
        <w:top w:val="none" w:sz="0" w:space="0" w:color="auto"/>
        <w:left w:val="none" w:sz="0" w:space="0" w:color="auto"/>
        <w:bottom w:val="none" w:sz="0" w:space="0" w:color="auto"/>
        <w:right w:val="none" w:sz="0" w:space="0" w:color="auto"/>
      </w:divBdr>
    </w:div>
    <w:div w:id="1723480124">
      <w:marLeft w:val="0"/>
      <w:marRight w:val="0"/>
      <w:marTop w:val="0"/>
      <w:marBottom w:val="0"/>
      <w:divBdr>
        <w:top w:val="none" w:sz="0" w:space="0" w:color="auto"/>
        <w:left w:val="none" w:sz="0" w:space="0" w:color="auto"/>
        <w:bottom w:val="none" w:sz="0" w:space="0" w:color="auto"/>
        <w:right w:val="none" w:sz="0" w:space="0" w:color="auto"/>
      </w:divBdr>
    </w:div>
    <w:div w:id="1723480125">
      <w:marLeft w:val="0"/>
      <w:marRight w:val="0"/>
      <w:marTop w:val="0"/>
      <w:marBottom w:val="0"/>
      <w:divBdr>
        <w:top w:val="none" w:sz="0" w:space="0" w:color="auto"/>
        <w:left w:val="none" w:sz="0" w:space="0" w:color="auto"/>
        <w:bottom w:val="none" w:sz="0" w:space="0" w:color="auto"/>
        <w:right w:val="none" w:sz="0" w:space="0" w:color="auto"/>
      </w:divBdr>
    </w:div>
    <w:div w:id="1723480126">
      <w:marLeft w:val="0"/>
      <w:marRight w:val="0"/>
      <w:marTop w:val="0"/>
      <w:marBottom w:val="0"/>
      <w:divBdr>
        <w:top w:val="none" w:sz="0" w:space="0" w:color="auto"/>
        <w:left w:val="none" w:sz="0" w:space="0" w:color="auto"/>
        <w:bottom w:val="none" w:sz="0" w:space="0" w:color="auto"/>
        <w:right w:val="none" w:sz="0" w:space="0" w:color="auto"/>
      </w:divBdr>
    </w:div>
    <w:div w:id="1723480127">
      <w:marLeft w:val="0"/>
      <w:marRight w:val="0"/>
      <w:marTop w:val="0"/>
      <w:marBottom w:val="0"/>
      <w:divBdr>
        <w:top w:val="none" w:sz="0" w:space="0" w:color="auto"/>
        <w:left w:val="none" w:sz="0" w:space="0" w:color="auto"/>
        <w:bottom w:val="none" w:sz="0" w:space="0" w:color="auto"/>
        <w:right w:val="none" w:sz="0" w:space="0" w:color="auto"/>
      </w:divBdr>
    </w:div>
    <w:div w:id="1723480128">
      <w:marLeft w:val="0"/>
      <w:marRight w:val="0"/>
      <w:marTop w:val="0"/>
      <w:marBottom w:val="0"/>
      <w:divBdr>
        <w:top w:val="none" w:sz="0" w:space="0" w:color="auto"/>
        <w:left w:val="none" w:sz="0" w:space="0" w:color="auto"/>
        <w:bottom w:val="none" w:sz="0" w:space="0" w:color="auto"/>
        <w:right w:val="none" w:sz="0" w:space="0" w:color="auto"/>
      </w:divBdr>
    </w:div>
    <w:div w:id="1723480129">
      <w:marLeft w:val="0"/>
      <w:marRight w:val="0"/>
      <w:marTop w:val="0"/>
      <w:marBottom w:val="0"/>
      <w:divBdr>
        <w:top w:val="none" w:sz="0" w:space="0" w:color="auto"/>
        <w:left w:val="none" w:sz="0" w:space="0" w:color="auto"/>
        <w:bottom w:val="none" w:sz="0" w:space="0" w:color="auto"/>
        <w:right w:val="none" w:sz="0" w:space="0" w:color="auto"/>
      </w:divBdr>
    </w:div>
    <w:div w:id="1723480130">
      <w:marLeft w:val="0"/>
      <w:marRight w:val="0"/>
      <w:marTop w:val="0"/>
      <w:marBottom w:val="0"/>
      <w:divBdr>
        <w:top w:val="none" w:sz="0" w:space="0" w:color="auto"/>
        <w:left w:val="none" w:sz="0" w:space="0" w:color="auto"/>
        <w:bottom w:val="none" w:sz="0" w:space="0" w:color="auto"/>
        <w:right w:val="none" w:sz="0" w:space="0" w:color="auto"/>
      </w:divBdr>
    </w:div>
    <w:div w:id="1723480131">
      <w:marLeft w:val="0"/>
      <w:marRight w:val="0"/>
      <w:marTop w:val="0"/>
      <w:marBottom w:val="0"/>
      <w:divBdr>
        <w:top w:val="none" w:sz="0" w:space="0" w:color="auto"/>
        <w:left w:val="none" w:sz="0" w:space="0" w:color="auto"/>
        <w:bottom w:val="none" w:sz="0" w:space="0" w:color="auto"/>
        <w:right w:val="none" w:sz="0" w:space="0" w:color="auto"/>
      </w:divBdr>
    </w:div>
    <w:div w:id="1723480132">
      <w:marLeft w:val="0"/>
      <w:marRight w:val="0"/>
      <w:marTop w:val="0"/>
      <w:marBottom w:val="0"/>
      <w:divBdr>
        <w:top w:val="none" w:sz="0" w:space="0" w:color="auto"/>
        <w:left w:val="none" w:sz="0" w:space="0" w:color="auto"/>
        <w:bottom w:val="none" w:sz="0" w:space="0" w:color="auto"/>
        <w:right w:val="none" w:sz="0" w:space="0" w:color="auto"/>
      </w:divBdr>
    </w:div>
    <w:div w:id="1723480133">
      <w:marLeft w:val="0"/>
      <w:marRight w:val="0"/>
      <w:marTop w:val="0"/>
      <w:marBottom w:val="0"/>
      <w:divBdr>
        <w:top w:val="none" w:sz="0" w:space="0" w:color="auto"/>
        <w:left w:val="none" w:sz="0" w:space="0" w:color="auto"/>
        <w:bottom w:val="none" w:sz="0" w:space="0" w:color="auto"/>
        <w:right w:val="none" w:sz="0" w:space="0" w:color="auto"/>
      </w:divBdr>
    </w:div>
    <w:div w:id="1723480134">
      <w:marLeft w:val="0"/>
      <w:marRight w:val="0"/>
      <w:marTop w:val="0"/>
      <w:marBottom w:val="0"/>
      <w:divBdr>
        <w:top w:val="none" w:sz="0" w:space="0" w:color="auto"/>
        <w:left w:val="none" w:sz="0" w:space="0" w:color="auto"/>
        <w:bottom w:val="none" w:sz="0" w:space="0" w:color="auto"/>
        <w:right w:val="none" w:sz="0" w:space="0" w:color="auto"/>
      </w:divBdr>
    </w:div>
    <w:div w:id="1723480135">
      <w:marLeft w:val="0"/>
      <w:marRight w:val="0"/>
      <w:marTop w:val="0"/>
      <w:marBottom w:val="0"/>
      <w:divBdr>
        <w:top w:val="none" w:sz="0" w:space="0" w:color="auto"/>
        <w:left w:val="none" w:sz="0" w:space="0" w:color="auto"/>
        <w:bottom w:val="none" w:sz="0" w:space="0" w:color="auto"/>
        <w:right w:val="none" w:sz="0" w:space="0" w:color="auto"/>
      </w:divBdr>
    </w:div>
    <w:div w:id="1723480136">
      <w:marLeft w:val="0"/>
      <w:marRight w:val="0"/>
      <w:marTop w:val="0"/>
      <w:marBottom w:val="0"/>
      <w:divBdr>
        <w:top w:val="none" w:sz="0" w:space="0" w:color="auto"/>
        <w:left w:val="none" w:sz="0" w:space="0" w:color="auto"/>
        <w:bottom w:val="none" w:sz="0" w:space="0" w:color="auto"/>
        <w:right w:val="none" w:sz="0" w:space="0" w:color="auto"/>
      </w:divBdr>
    </w:div>
    <w:div w:id="1723480137">
      <w:marLeft w:val="0"/>
      <w:marRight w:val="0"/>
      <w:marTop w:val="0"/>
      <w:marBottom w:val="0"/>
      <w:divBdr>
        <w:top w:val="none" w:sz="0" w:space="0" w:color="auto"/>
        <w:left w:val="none" w:sz="0" w:space="0" w:color="auto"/>
        <w:bottom w:val="none" w:sz="0" w:space="0" w:color="auto"/>
        <w:right w:val="none" w:sz="0" w:space="0" w:color="auto"/>
      </w:divBdr>
    </w:div>
    <w:div w:id="1723480138">
      <w:marLeft w:val="0"/>
      <w:marRight w:val="0"/>
      <w:marTop w:val="0"/>
      <w:marBottom w:val="0"/>
      <w:divBdr>
        <w:top w:val="none" w:sz="0" w:space="0" w:color="auto"/>
        <w:left w:val="none" w:sz="0" w:space="0" w:color="auto"/>
        <w:bottom w:val="none" w:sz="0" w:space="0" w:color="auto"/>
        <w:right w:val="none" w:sz="0" w:space="0" w:color="auto"/>
      </w:divBdr>
    </w:div>
    <w:div w:id="1723480139">
      <w:marLeft w:val="0"/>
      <w:marRight w:val="0"/>
      <w:marTop w:val="0"/>
      <w:marBottom w:val="0"/>
      <w:divBdr>
        <w:top w:val="none" w:sz="0" w:space="0" w:color="auto"/>
        <w:left w:val="none" w:sz="0" w:space="0" w:color="auto"/>
        <w:bottom w:val="none" w:sz="0" w:space="0" w:color="auto"/>
        <w:right w:val="none" w:sz="0" w:space="0" w:color="auto"/>
      </w:divBdr>
    </w:div>
    <w:div w:id="1723480140">
      <w:marLeft w:val="0"/>
      <w:marRight w:val="0"/>
      <w:marTop w:val="0"/>
      <w:marBottom w:val="0"/>
      <w:divBdr>
        <w:top w:val="none" w:sz="0" w:space="0" w:color="auto"/>
        <w:left w:val="none" w:sz="0" w:space="0" w:color="auto"/>
        <w:bottom w:val="none" w:sz="0" w:space="0" w:color="auto"/>
        <w:right w:val="none" w:sz="0" w:space="0" w:color="auto"/>
      </w:divBdr>
    </w:div>
    <w:div w:id="1723480141">
      <w:marLeft w:val="0"/>
      <w:marRight w:val="0"/>
      <w:marTop w:val="0"/>
      <w:marBottom w:val="0"/>
      <w:divBdr>
        <w:top w:val="none" w:sz="0" w:space="0" w:color="auto"/>
        <w:left w:val="none" w:sz="0" w:space="0" w:color="auto"/>
        <w:bottom w:val="none" w:sz="0" w:space="0" w:color="auto"/>
        <w:right w:val="none" w:sz="0" w:space="0" w:color="auto"/>
      </w:divBdr>
    </w:div>
    <w:div w:id="1723480142">
      <w:marLeft w:val="0"/>
      <w:marRight w:val="0"/>
      <w:marTop w:val="0"/>
      <w:marBottom w:val="0"/>
      <w:divBdr>
        <w:top w:val="none" w:sz="0" w:space="0" w:color="auto"/>
        <w:left w:val="none" w:sz="0" w:space="0" w:color="auto"/>
        <w:bottom w:val="none" w:sz="0" w:space="0" w:color="auto"/>
        <w:right w:val="none" w:sz="0" w:space="0" w:color="auto"/>
      </w:divBdr>
    </w:div>
    <w:div w:id="1723480143">
      <w:marLeft w:val="0"/>
      <w:marRight w:val="0"/>
      <w:marTop w:val="0"/>
      <w:marBottom w:val="0"/>
      <w:divBdr>
        <w:top w:val="none" w:sz="0" w:space="0" w:color="auto"/>
        <w:left w:val="none" w:sz="0" w:space="0" w:color="auto"/>
        <w:bottom w:val="none" w:sz="0" w:space="0" w:color="auto"/>
        <w:right w:val="none" w:sz="0" w:space="0" w:color="auto"/>
      </w:divBdr>
    </w:div>
    <w:div w:id="1723480144">
      <w:marLeft w:val="0"/>
      <w:marRight w:val="0"/>
      <w:marTop w:val="0"/>
      <w:marBottom w:val="0"/>
      <w:divBdr>
        <w:top w:val="none" w:sz="0" w:space="0" w:color="auto"/>
        <w:left w:val="none" w:sz="0" w:space="0" w:color="auto"/>
        <w:bottom w:val="none" w:sz="0" w:space="0" w:color="auto"/>
        <w:right w:val="none" w:sz="0" w:space="0" w:color="auto"/>
      </w:divBdr>
    </w:div>
    <w:div w:id="1723480145">
      <w:marLeft w:val="0"/>
      <w:marRight w:val="0"/>
      <w:marTop w:val="0"/>
      <w:marBottom w:val="0"/>
      <w:divBdr>
        <w:top w:val="none" w:sz="0" w:space="0" w:color="auto"/>
        <w:left w:val="none" w:sz="0" w:space="0" w:color="auto"/>
        <w:bottom w:val="none" w:sz="0" w:space="0" w:color="auto"/>
        <w:right w:val="none" w:sz="0" w:space="0" w:color="auto"/>
      </w:divBdr>
    </w:div>
    <w:div w:id="1723480146">
      <w:marLeft w:val="0"/>
      <w:marRight w:val="0"/>
      <w:marTop w:val="0"/>
      <w:marBottom w:val="0"/>
      <w:divBdr>
        <w:top w:val="none" w:sz="0" w:space="0" w:color="auto"/>
        <w:left w:val="none" w:sz="0" w:space="0" w:color="auto"/>
        <w:bottom w:val="none" w:sz="0" w:space="0" w:color="auto"/>
        <w:right w:val="none" w:sz="0" w:space="0" w:color="auto"/>
      </w:divBdr>
    </w:div>
    <w:div w:id="1723480147">
      <w:marLeft w:val="0"/>
      <w:marRight w:val="0"/>
      <w:marTop w:val="0"/>
      <w:marBottom w:val="0"/>
      <w:divBdr>
        <w:top w:val="none" w:sz="0" w:space="0" w:color="auto"/>
        <w:left w:val="none" w:sz="0" w:space="0" w:color="auto"/>
        <w:bottom w:val="none" w:sz="0" w:space="0" w:color="auto"/>
        <w:right w:val="none" w:sz="0" w:space="0" w:color="auto"/>
      </w:divBdr>
    </w:div>
    <w:div w:id="1723480148">
      <w:marLeft w:val="0"/>
      <w:marRight w:val="0"/>
      <w:marTop w:val="0"/>
      <w:marBottom w:val="0"/>
      <w:divBdr>
        <w:top w:val="none" w:sz="0" w:space="0" w:color="auto"/>
        <w:left w:val="none" w:sz="0" w:space="0" w:color="auto"/>
        <w:bottom w:val="none" w:sz="0" w:space="0" w:color="auto"/>
        <w:right w:val="none" w:sz="0" w:space="0" w:color="auto"/>
      </w:divBdr>
    </w:div>
    <w:div w:id="1723480149">
      <w:marLeft w:val="0"/>
      <w:marRight w:val="0"/>
      <w:marTop w:val="0"/>
      <w:marBottom w:val="0"/>
      <w:divBdr>
        <w:top w:val="none" w:sz="0" w:space="0" w:color="auto"/>
        <w:left w:val="none" w:sz="0" w:space="0" w:color="auto"/>
        <w:bottom w:val="none" w:sz="0" w:space="0" w:color="auto"/>
        <w:right w:val="none" w:sz="0" w:space="0" w:color="auto"/>
      </w:divBdr>
    </w:div>
    <w:div w:id="1723480150">
      <w:marLeft w:val="0"/>
      <w:marRight w:val="0"/>
      <w:marTop w:val="0"/>
      <w:marBottom w:val="0"/>
      <w:divBdr>
        <w:top w:val="none" w:sz="0" w:space="0" w:color="auto"/>
        <w:left w:val="none" w:sz="0" w:space="0" w:color="auto"/>
        <w:bottom w:val="none" w:sz="0" w:space="0" w:color="auto"/>
        <w:right w:val="none" w:sz="0" w:space="0" w:color="auto"/>
      </w:divBdr>
    </w:div>
    <w:div w:id="1723480151">
      <w:marLeft w:val="0"/>
      <w:marRight w:val="0"/>
      <w:marTop w:val="0"/>
      <w:marBottom w:val="0"/>
      <w:divBdr>
        <w:top w:val="none" w:sz="0" w:space="0" w:color="auto"/>
        <w:left w:val="none" w:sz="0" w:space="0" w:color="auto"/>
        <w:bottom w:val="none" w:sz="0" w:space="0" w:color="auto"/>
        <w:right w:val="none" w:sz="0" w:space="0" w:color="auto"/>
      </w:divBdr>
    </w:div>
    <w:div w:id="1723480152">
      <w:marLeft w:val="0"/>
      <w:marRight w:val="0"/>
      <w:marTop w:val="0"/>
      <w:marBottom w:val="0"/>
      <w:divBdr>
        <w:top w:val="none" w:sz="0" w:space="0" w:color="auto"/>
        <w:left w:val="none" w:sz="0" w:space="0" w:color="auto"/>
        <w:bottom w:val="none" w:sz="0" w:space="0" w:color="auto"/>
        <w:right w:val="none" w:sz="0" w:space="0" w:color="auto"/>
      </w:divBdr>
    </w:div>
    <w:div w:id="1723480153">
      <w:marLeft w:val="0"/>
      <w:marRight w:val="0"/>
      <w:marTop w:val="0"/>
      <w:marBottom w:val="0"/>
      <w:divBdr>
        <w:top w:val="none" w:sz="0" w:space="0" w:color="auto"/>
        <w:left w:val="none" w:sz="0" w:space="0" w:color="auto"/>
        <w:bottom w:val="none" w:sz="0" w:space="0" w:color="auto"/>
        <w:right w:val="none" w:sz="0" w:space="0" w:color="auto"/>
      </w:divBdr>
    </w:div>
    <w:div w:id="1723480154">
      <w:marLeft w:val="0"/>
      <w:marRight w:val="0"/>
      <w:marTop w:val="0"/>
      <w:marBottom w:val="0"/>
      <w:divBdr>
        <w:top w:val="none" w:sz="0" w:space="0" w:color="auto"/>
        <w:left w:val="none" w:sz="0" w:space="0" w:color="auto"/>
        <w:bottom w:val="none" w:sz="0" w:space="0" w:color="auto"/>
        <w:right w:val="none" w:sz="0" w:space="0" w:color="auto"/>
      </w:divBdr>
    </w:div>
    <w:div w:id="1723480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69-19/paran2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e.gov.ua/Documents/List?lang=uk-UA&amp;tag=RoziasnenniaStosovnoZastosuvanniaZakonodavstvaUSferiDerzhavnikhZakupi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22</Pages>
  <Words>19237</Words>
  <Characters>10966</Characters>
  <Application>Microsoft Office Outlook</Application>
  <DocSecurity>0</DocSecurity>
  <Lines>0</Lines>
  <Paragraphs>0</Paragraphs>
  <ScaleCrop>false</ScaleCrop>
  <Company>Lord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Дехтяренко</dc:creator>
  <cp:keywords/>
  <dc:description/>
  <cp:lastModifiedBy>rudyuk</cp:lastModifiedBy>
  <cp:revision>5</cp:revision>
  <cp:lastPrinted>2016-04-29T08:09:00Z</cp:lastPrinted>
  <dcterms:created xsi:type="dcterms:W3CDTF">2016-04-25T13:00:00Z</dcterms:created>
  <dcterms:modified xsi:type="dcterms:W3CDTF">2016-04-29T08:12:00Z</dcterms:modified>
</cp:coreProperties>
</file>