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Проєкт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trHeight w:val="109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КАБІНЕТ МІНІСТРІВ УКРАЇНИ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ПОСТАНОВА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від «____»    _____________ 2020 р.  № _____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внесення змін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Кабінет Міністрів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hd w:fill="ffffff" w:val="clear"/>
        <w:tabs>
          <w:tab w:val="left" w:pos="1134"/>
        </w:tabs>
        <w:spacing w:after="280" w:before="280" w:lineRule="auto"/>
        <w:ind w:firstLine="709"/>
        <w:jc w:val="both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</w:t>
        <w:tab/>
        <w:t xml:space="preserve">Внести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 929 (Офіційний вісник України, 2016 р., № 99, ст. 3217) зміни, що додаються.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0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Ця постанова набирає чинності з дня її опублікування</w:t>
      </w:r>
      <w:r w:rsidDel="00000000" w:rsidR="00000000" w:rsidRPr="00000000">
        <w:rPr>
          <w:sz w:val="28"/>
          <w:szCs w:val="28"/>
          <w:rtl w:val="0"/>
        </w:rPr>
        <w:t xml:space="preserve"> та застосовується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період здійснення заходів щодо запобігання виникненню та поширенню коронавірусної хвороби (COVID-19), передбачених карантином, встановленим постановою Кабінет</w:t>
      </w:r>
      <w:r w:rsidDel="00000000" w:rsidR="00000000" w:rsidRPr="00000000">
        <w:rPr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Міністрів України від 1</w:t>
      </w:r>
      <w:r w:rsidDel="00000000" w:rsidR="00000000" w:rsidRPr="00000000">
        <w:rPr>
          <w:sz w:val="28"/>
          <w:szCs w:val="28"/>
          <w:rtl w:val="0"/>
        </w:rPr>
        <w:t xml:space="preserve">1 березня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0 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№ 211 </w:t>
      </w:r>
      <w:r w:rsidDel="00000000" w:rsidR="00000000" w:rsidRPr="00000000">
        <w:rPr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запобігання поширенню на території України коронавірусу COVID-19</w:t>
      </w:r>
      <w:r w:rsidDel="00000000" w:rsidR="00000000" w:rsidRPr="00000000">
        <w:rPr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та один місяць після дати його завершення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Прем'єр міністр України</w:t>
        <w:tab/>
        <w:tab/>
        <w:tab/>
        <w:tab/>
        <w:tab/>
        <w:t xml:space="preserve">    Д. ШМИГАЛЬ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7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323"/>
        <w:tblGridChange w:id="0">
          <w:tblGrid>
            <w:gridCol w:w="4428"/>
            <w:gridCol w:w="532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ЗАТВЕРДЖЕНО </w:t>
              <w:br w:type="textWrapping"/>
              <w:t xml:space="preserve">постановою Кабінету Міністрів України </w:t>
              <w:br w:type="textWrapping"/>
              <w:t xml:space="preserve">від «____» ____________2020 р. № 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ЗМІНИ,</w:t>
        <w:br w:type="textWrapping"/>
        <w:t xml:space="preserve">що вносяться до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У пункті 27 слова «дистанційно та шляхом електронної торгівлі, а також поштою і» виключити.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 Абзац другий пункту 135 після слів «супутніх товарів» доповнити словами «та/або поштових відправлень».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 пункті 139 слова «поштових або» виключити.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Пункт 156 викласти у такій редакції: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«156. Роздрібна торгівля лікарськими засобами здійснюється лише через аптечні заклади, крім випадків, передбачених цими Ліцензійними умовами.</w:t>
      </w:r>
    </w:p>
    <w:p w:rsidR="00000000" w:rsidDel="00000000" w:rsidP="00000000" w:rsidRDefault="00000000" w:rsidRPr="00000000" w14:paraId="00000024">
      <w:pPr>
        <w:tabs>
          <w:tab w:val="left" w:pos="1134"/>
        </w:tabs>
        <w:spacing w:after="2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Роздрібна торгівля лікарськими засобами (крім рецептурних лікарських засобів) може здійснюватися ліцензіатами шляхом електронної торгівлі відповідно до Закону України «Про електронну комерцію».</w:t>
      </w:r>
    </w:p>
    <w:p w:rsidR="00000000" w:rsidDel="00000000" w:rsidP="00000000" w:rsidRDefault="00000000" w:rsidRPr="00000000" w14:paraId="00000025">
      <w:pPr>
        <w:tabs>
          <w:tab w:val="left" w:pos="1134"/>
        </w:tabs>
        <w:spacing w:after="2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разі здійснення електронної торгівлі лікарськими засобами ліцензіат повинен: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1134"/>
        </w:tabs>
        <w:spacing w:after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додатково до інформації, визначеної частиною першою статті 7 Закону України «Про електронну комерцію», до укладення електронного договору надати споживачу інформацію про максимально можливий строк доставки споживачу лікарського засобу, а у разі якщо доставка лікарського засобу здійснюється оператором поштового зв’язку, службою доставки також інформацію:</w:t>
      </w:r>
    </w:p>
    <w:p w:rsidR="00000000" w:rsidDel="00000000" w:rsidP="00000000" w:rsidRDefault="00000000" w:rsidRPr="00000000" w14:paraId="00000027">
      <w:pPr>
        <w:tabs>
          <w:tab w:val="left" w:pos="1134"/>
        </w:tabs>
        <w:spacing w:after="2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або про повне найменування оператора поштового зв’язку, </w:t>
      </w:r>
      <w:r w:rsidDel="00000000" w:rsidR="00000000" w:rsidRPr="00000000">
        <w:rPr>
          <w:sz w:val="28"/>
          <w:szCs w:val="28"/>
          <w:rtl w:val="0"/>
        </w:rPr>
        <w:t xml:space="preserve">служби доставки </w:t>
      </w:r>
      <w:r w:rsidDel="00000000" w:rsidR="00000000" w:rsidRPr="00000000">
        <w:rPr>
          <w:sz w:val="28"/>
          <w:szCs w:val="28"/>
          <w:rtl w:val="0"/>
        </w:rPr>
        <w:t xml:space="preserve">якщо таким оператором поштового зв’язку, </w:t>
      </w:r>
      <w:r w:rsidDel="00000000" w:rsidR="00000000" w:rsidRPr="00000000">
        <w:rPr>
          <w:sz w:val="28"/>
          <w:szCs w:val="28"/>
          <w:rtl w:val="0"/>
        </w:rPr>
        <w:t xml:space="preserve">службою доставки</w:t>
      </w:r>
      <w:r w:rsidDel="00000000" w:rsidR="00000000" w:rsidRPr="00000000">
        <w:rPr>
          <w:sz w:val="28"/>
          <w:szCs w:val="28"/>
          <w:rtl w:val="0"/>
        </w:rPr>
        <w:t xml:space="preserve"> є юридична особа;</w:t>
      </w:r>
    </w:p>
    <w:p w:rsidR="00000000" w:rsidDel="00000000" w:rsidP="00000000" w:rsidRDefault="00000000" w:rsidRPr="00000000" w14:paraId="00000028">
      <w:pPr>
        <w:tabs>
          <w:tab w:val="left" w:pos="1134"/>
        </w:tabs>
        <w:spacing w:after="24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або прізвище, ім’я, по батькові фізичної особи – підприємця, якщо таким оператором поштового зв’язку, </w:t>
      </w:r>
      <w:r w:rsidDel="00000000" w:rsidR="00000000" w:rsidRPr="00000000">
        <w:rPr>
          <w:sz w:val="28"/>
          <w:szCs w:val="28"/>
          <w:rtl w:val="0"/>
        </w:rPr>
        <w:t xml:space="preserve">службою доставки</w:t>
      </w:r>
      <w:r w:rsidDel="00000000" w:rsidR="00000000" w:rsidRPr="00000000">
        <w:rPr>
          <w:sz w:val="28"/>
          <w:szCs w:val="28"/>
          <w:rtl w:val="0"/>
        </w:rPr>
        <w:t xml:space="preserve"> є фізична особа – підприємець;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1134"/>
        </w:tabs>
        <w:spacing w:after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здійснювати відпуск/відвантаження лікарських засобів виключно із аптечних закладів;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1134"/>
        </w:tabs>
        <w:spacing w:after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забезпечити умови перевезення лікарських засобів та їх зберігання до моменту передачі споживачу відповідно до вимог встановлених виробником до відповідних лікарських засобів (у разі доставки лікарських засобів оператором поштового зв’язку, </w:t>
      </w:r>
      <w:r w:rsidDel="00000000" w:rsidR="00000000" w:rsidRPr="00000000">
        <w:rPr>
          <w:sz w:val="28"/>
          <w:szCs w:val="28"/>
          <w:rtl w:val="0"/>
        </w:rPr>
        <w:t xml:space="preserve">службою доставки</w:t>
      </w:r>
      <w:r w:rsidDel="00000000" w:rsidR="00000000" w:rsidRPr="00000000">
        <w:rPr>
          <w:sz w:val="28"/>
          <w:szCs w:val="28"/>
          <w:rtl w:val="0"/>
        </w:rPr>
        <w:t xml:space="preserve"> ліцензіат повинен проінформувати оператора поштового зв’язку, </w:t>
      </w:r>
      <w:r w:rsidDel="00000000" w:rsidR="00000000" w:rsidRPr="00000000">
        <w:rPr>
          <w:sz w:val="28"/>
          <w:szCs w:val="28"/>
          <w:rtl w:val="0"/>
        </w:rPr>
        <w:t xml:space="preserve">службу доставки </w:t>
      </w:r>
      <w:r w:rsidDel="00000000" w:rsidR="00000000" w:rsidRPr="00000000">
        <w:rPr>
          <w:sz w:val="28"/>
          <w:szCs w:val="28"/>
          <w:rtl w:val="0"/>
        </w:rPr>
        <w:t xml:space="preserve">про умови перевезення та зберігання лікарських засобів);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1134"/>
        </w:tabs>
        <w:spacing w:after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разі пересилання лікарських засобів у поштових або інших відправленнях на відправленні має бути зроблено напис «лікарський засіб» та зазначена температура, в умовах якої має зберігатись лікарський засіб.».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2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 абзаці третьому пункту 170 слова «пасажирів, та у поштових відправленнях» замінити словом «пасажирів».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</w:t>
      </w:r>
    </w:p>
    <w:sectPr>
      <w:pgSz w:h="16838" w:w="11906"/>
      <w:pgMar w:bottom="1134" w:top="107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957" w:hanging="39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