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BD" w:rsidRDefault="008E2325" w:rsidP="008E2325">
      <w:pPr>
        <w:ind w:left="1274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2325">
        <w:rPr>
          <w:rFonts w:ascii="Times New Roman" w:hAnsi="Times New Roman" w:cs="Times New Roman"/>
          <w:sz w:val="24"/>
          <w:szCs w:val="24"/>
        </w:rPr>
        <w:t>Додаток</w:t>
      </w:r>
    </w:p>
    <w:p w:rsidR="008E2325" w:rsidRPr="008E2325" w:rsidRDefault="008E2325" w:rsidP="008E2325">
      <w:pPr>
        <w:ind w:left="12744" w:firstLine="708"/>
        <w:rPr>
          <w:rFonts w:ascii="Times New Roman" w:hAnsi="Times New Roman" w:cs="Times New Roman"/>
          <w:sz w:val="24"/>
          <w:szCs w:val="24"/>
        </w:rPr>
      </w:pPr>
      <w:r w:rsidRPr="008E2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325" w:rsidRPr="00FD57C6" w:rsidRDefault="008E2325" w:rsidP="008E2325">
      <w:pPr>
        <w:jc w:val="center"/>
        <w:rPr>
          <w:rFonts w:ascii="Times New Roman" w:hAnsi="Times New Roman" w:cs="Times New Roman"/>
          <w:b/>
        </w:rPr>
      </w:pPr>
      <w:r w:rsidRPr="00FD57C6">
        <w:rPr>
          <w:rFonts w:ascii="Times New Roman" w:hAnsi="Times New Roman" w:cs="Times New Roman"/>
          <w:b/>
        </w:rPr>
        <w:t>ПОРІВНЯЛЬНА ТАБЛИЦЯ</w:t>
      </w:r>
    </w:p>
    <w:p w:rsidR="008E2325" w:rsidRPr="00FD57C6" w:rsidRDefault="00890BF0" w:rsidP="008E2325">
      <w:pPr>
        <w:jc w:val="center"/>
        <w:rPr>
          <w:rFonts w:ascii="Times New Roman" w:hAnsi="Times New Roman" w:cs="Times New Roman"/>
          <w:b/>
        </w:rPr>
      </w:pPr>
      <w:r w:rsidRPr="00FD57C6">
        <w:rPr>
          <w:rFonts w:ascii="Times New Roman" w:hAnsi="Times New Roman" w:cs="Times New Roman"/>
          <w:b/>
        </w:rPr>
        <w:t>до проекту Закону України “Про порядок здійснення іноземних інвестицій у суб’єкти господарювання, що мають стратегічне значення для національної безпеки України”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2"/>
        <w:gridCol w:w="5043"/>
        <w:gridCol w:w="5043"/>
      </w:tblGrid>
      <w:tr w:rsidR="008A2B5F" w:rsidRPr="00FD57C6" w:rsidTr="008A2B5F">
        <w:tc>
          <w:tcPr>
            <w:tcW w:w="5042" w:type="dxa"/>
          </w:tcPr>
          <w:p w:rsidR="008A2B5F" w:rsidRPr="00FD57C6" w:rsidRDefault="001D1681" w:rsidP="00354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7C6">
              <w:rPr>
                <w:rFonts w:ascii="Times New Roman" w:hAnsi="Times New Roman" w:cs="Times New Roman"/>
                <w:b/>
              </w:rPr>
              <w:t xml:space="preserve">Зміст положення </w:t>
            </w:r>
            <w:r w:rsidR="00354CBD" w:rsidRPr="00FD57C6">
              <w:rPr>
                <w:rFonts w:ascii="Times New Roman" w:hAnsi="Times New Roman" w:cs="Times New Roman"/>
                <w:b/>
              </w:rPr>
              <w:t>чинного законодавства</w:t>
            </w:r>
            <w:r w:rsidR="00354CBD" w:rsidRPr="00FD57C6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043" w:type="dxa"/>
          </w:tcPr>
          <w:p w:rsidR="008A2B5F" w:rsidRPr="00FD57C6" w:rsidRDefault="008A2B5F" w:rsidP="008A2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7C6">
              <w:rPr>
                <w:rFonts w:ascii="Times New Roman" w:hAnsi="Times New Roman" w:cs="Times New Roman"/>
                <w:b/>
              </w:rPr>
              <w:t xml:space="preserve">Зміст відповідного положення проекту </w:t>
            </w:r>
            <w:proofErr w:type="spellStart"/>
            <w:r w:rsidRPr="00FD57C6">
              <w:rPr>
                <w:rFonts w:ascii="Times New Roman" w:hAnsi="Times New Roman" w:cs="Times New Roman"/>
                <w:b/>
              </w:rPr>
              <w:t>акта</w:t>
            </w:r>
            <w:proofErr w:type="spellEnd"/>
          </w:p>
        </w:tc>
        <w:tc>
          <w:tcPr>
            <w:tcW w:w="5043" w:type="dxa"/>
          </w:tcPr>
          <w:p w:rsidR="008A2B5F" w:rsidRPr="00FD57C6" w:rsidRDefault="008A2B5F" w:rsidP="008A2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7C6">
              <w:rPr>
                <w:rFonts w:ascii="Times New Roman" w:hAnsi="Times New Roman" w:cs="Times New Roman"/>
                <w:b/>
              </w:rPr>
              <w:t>Пояснення змін</w:t>
            </w:r>
          </w:p>
        </w:tc>
      </w:tr>
      <w:tr w:rsidR="005D6F9C" w:rsidRPr="00FD57C6" w:rsidTr="00ED675D">
        <w:tc>
          <w:tcPr>
            <w:tcW w:w="15128" w:type="dxa"/>
            <w:gridSpan w:val="3"/>
          </w:tcPr>
          <w:p w:rsidR="000F1B32" w:rsidRDefault="005D6F9C" w:rsidP="008A2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7C6">
              <w:rPr>
                <w:rFonts w:ascii="Times New Roman" w:hAnsi="Times New Roman" w:cs="Times New Roman"/>
                <w:b/>
              </w:rPr>
              <w:t xml:space="preserve">Закон України “Про захист економічної конкуренції” </w:t>
            </w:r>
          </w:p>
          <w:p w:rsidR="005D6F9C" w:rsidRPr="00FD57C6" w:rsidRDefault="00FD57C6" w:rsidP="008A2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1B32">
              <w:rPr>
                <w:rFonts w:ascii="Times New Roman" w:hAnsi="Times New Roman" w:cs="Times New Roman"/>
                <w:b/>
              </w:rPr>
              <w:t>(Відомості Верховної Ради України, (ВВР), 2001 р., № 12, ст. 64)</w:t>
            </w:r>
          </w:p>
        </w:tc>
      </w:tr>
      <w:tr w:rsidR="008A2B5F" w:rsidRPr="00FD57C6" w:rsidTr="008A2B5F">
        <w:tc>
          <w:tcPr>
            <w:tcW w:w="5042" w:type="dxa"/>
          </w:tcPr>
          <w:p w:rsidR="00A3562D" w:rsidRPr="00FD57C6" w:rsidRDefault="00A3562D" w:rsidP="007D0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57C6">
              <w:rPr>
                <w:rFonts w:ascii="Times New Roman" w:hAnsi="Times New Roman" w:cs="Times New Roman"/>
                <w:b/>
              </w:rPr>
              <w:t>Стаття 25</w:t>
            </w:r>
            <w:r w:rsidR="00B05FC4" w:rsidRPr="00FD57C6">
              <w:rPr>
                <w:rFonts w:ascii="Times New Roman" w:hAnsi="Times New Roman" w:cs="Times New Roman"/>
                <w:b/>
              </w:rPr>
              <w:t>.</w:t>
            </w:r>
            <w:r w:rsidR="00547189" w:rsidRPr="00FD57C6">
              <w:t xml:space="preserve"> </w:t>
            </w:r>
            <w:r w:rsidR="00547189" w:rsidRPr="00FD57C6">
              <w:rPr>
                <w:rFonts w:ascii="Times New Roman" w:hAnsi="Times New Roman" w:cs="Times New Roman"/>
                <w:b/>
              </w:rPr>
              <w:t>Підстави надання дозволу на концентрацію суб’єктів господарювання</w:t>
            </w:r>
          </w:p>
          <w:p w:rsidR="007D0467" w:rsidRPr="00FD57C6" w:rsidRDefault="007D0467" w:rsidP="007D0467">
            <w:pPr>
              <w:jc w:val="both"/>
              <w:rPr>
                <w:rFonts w:ascii="Times New Roman" w:hAnsi="Times New Roman" w:cs="Times New Roman"/>
              </w:rPr>
            </w:pPr>
          </w:p>
          <w:p w:rsidR="007D0467" w:rsidRPr="00FD57C6" w:rsidRDefault="007D0467" w:rsidP="007D0467">
            <w:pPr>
              <w:jc w:val="both"/>
              <w:rPr>
                <w:rFonts w:ascii="Times New Roman" w:hAnsi="Times New Roman" w:cs="Times New Roman"/>
              </w:rPr>
            </w:pPr>
            <w:r w:rsidRPr="00FD57C6">
              <w:rPr>
                <w:rFonts w:ascii="Times New Roman" w:hAnsi="Times New Roman" w:cs="Times New Roman"/>
              </w:rPr>
              <w:t>1. Антимонопольний комітет України чи адміністративна колегія Антимонопольного комітету України надають дозвіл на концентрацію у разі, якщо вона не призводить до монополізації чи суттєвого обмеження конкуренції на всьому ринку чи в значній його частині.</w:t>
            </w:r>
          </w:p>
          <w:p w:rsidR="00A3562D" w:rsidRPr="00FD57C6" w:rsidRDefault="00A3562D" w:rsidP="007D0467">
            <w:pPr>
              <w:jc w:val="both"/>
              <w:rPr>
                <w:rFonts w:ascii="Times New Roman" w:hAnsi="Times New Roman" w:cs="Times New Roman"/>
              </w:rPr>
            </w:pPr>
          </w:p>
          <w:p w:rsidR="008A2B5F" w:rsidRPr="00FD57C6" w:rsidRDefault="00B32363" w:rsidP="007D0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57C6">
              <w:rPr>
                <w:rFonts w:ascii="Times New Roman" w:hAnsi="Times New Roman" w:cs="Times New Roman"/>
                <w:b/>
              </w:rPr>
              <w:t>Положення відсутнє</w:t>
            </w:r>
          </w:p>
        </w:tc>
        <w:tc>
          <w:tcPr>
            <w:tcW w:w="5043" w:type="dxa"/>
          </w:tcPr>
          <w:p w:rsidR="007D0467" w:rsidRPr="00FD57C6" w:rsidRDefault="007D0467" w:rsidP="007D0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57C6">
              <w:rPr>
                <w:rFonts w:ascii="Times New Roman" w:hAnsi="Times New Roman" w:cs="Times New Roman"/>
                <w:b/>
              </w:rPr>
              <w:t>Стаття 25.</w:t>
            </w:r>
            <w:r w:rsidRPr="00FD57C6">
              <w:t xml:space="preserve"> </w:t>
            </w:r>
            <w:r w:rsidRPr="00FD57C6">
              <w:rPr>
                <w:rFonts w:ascii="Times New Roman" w:hAnsi="Times New Roman" w:cs="Times New Roman"/>
                <w:b/>
              </w:rPr>
              <w:t>Підстави надання дозволу на концентрацію суб’єктів господарювання</w:t>
            </w:r>
          </w:p>
          <w:p w:rsidR="007D0467" w:rsidRPr="00FD57C6" w:rsidRDefault="007D0467" w:rsidP="007D0467">
            <w:pPr>
              <w:jc w:val="both"/>
              <w:rPr>
                <w:rFonts w:ascii="Times New Roman" w:hAnsi="Times New Roman" w:cs="Times New Roman"/>
              </w:rPr>
            </w:pPr>
          </w:p>
          <w:p w:rsidR="007D0467" w:rsidRPr="00FD57C6" w:rsidRDefault="007D0467" w:rsidP="007D0467">
            <w:pPr>
              <w:jc w:val="both"/>
              <w:rPr>
                <w:rFonts w:ascii="Times New Roman" w:hAnsi="Times New Roman" w:cs="Times New Roman"/>
              </w:rPr>
            </w:pPr>
            <w:r w:rsidRPr="00FD57C6">
              <w:rPr>
                <w:rFonts w:ascii="Times New Roman" w:hAnsi="Times New Roman" w:cs="Times New Roman"/>
              </w:rPr>
              <w:t>1. Антимонопольний комітет України чи адміністративна колегія Антимонопольного комітету України надають дозвіл на концентрацію у разі, якщо вона не призводить до монополізації чи суттєвого обмеження конкуренції на всьому ринку чи в значній його частині.</w:t>
            </w:r>
          </w:p>
          <w:p w:rsidR="007D0467" w:rsidRPr="00FD57C6" w:rsidRDefault="007D0467" w:rsidP="007D0467">
            <w:pPr>
              <w:jc w:val="both"/>
              <w:rPr>
                <w:rFonts w:ascii="Times New Roman" w:hAnsi="Times New Roman" w:cs="Times New Roman"/>
              </w:rPr>
            </w:pPr>
          </w:p>
          <w:p w:rsidR="008A2B5F" w:rsidRPr="00FD57C6" w:rsidRDefault="00354CBD" w:rsidP="007D0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57C6">
              <w:rPr>
                <w:rFonts w:ascii="Times New Roman" w:hAnsi="Times New Roman" w:cs="Times New Roman"/>
                <w:b/>
              </w:rPr>
              <w:t>Дозвіл на концентрацію суб’єктам господарювання – нерезидентам України, які набувають або мають намір набути контроль над суб’єктом господарювання – підприємством у стратегічній сфері надається у разі погодження правочину щодо здійснення іноземних інвестицій Міжвідомчою Комісією з питань оцінки впливу іноземних інвестицій на національну безпеку України, у порядку визначеному Законом України “Про порядок здійснення іноземних інвестицій у суб’єкти господарювання, що мають стратегічне значення для забезпечення національної безпеки України.</w:t>
            </w:r>
          </w:p>
        </w:tc>
        <w:tc>
          <w:tcPr>
            <w:tcW w:w="5043" w:type="dxa"/>
          </w:tcPr>
          <w:p w:rsidR="00815FA1" w:rsidRPr="00FD57C6" w:rsidRDefault="00815FA1" w:rsidP="00815FA1">
            <w:pPr>
              <w:jc w:val="both"/>
              <w:rPr>
                <w:rFonts w:ascii="Times New Roman" w:hAnsi="Times New Roman" w:cs="Times New Roman"/>
              </w:rPr>
            </w:pPr>
            <w:r w:rsidRPr="00FD57C6">
              <w:rPr>
                <w:rFonts w:ascii="Times New Roman" w:hAnsi="Times New Roman" w:cs="Times New Roman"/>
              </w:rPr>
              <w:t xml:space="preserve">Положення законопроекту “Про порядок здійснення іноземних інвестицій у суб’єкти господарювання, що мають стратегічне значення для національної безпеки України”  направлені на уникнення концентрації іноземного капіталу у </w:t>
            </w:r>
            <w:r w:rsidR="00FD57C6" w:rsidRPr="00FD57C6">
              <w:rPr>
                <w:rFonts w:ascii="Times New Roman" w:hAnsi="Times New Roman" w:cs="Times New Roman"/>
              </w:rPr>
              <w:t>стратегічних</w:t>
            </w:r>
            <w:r w:rsidRPr="00FD57C6">
              <w:rPr>
                <w:rFonts w:ascii="Times New Roman" w:hAnsi="Times New Roman" w:cs="Times New Roman"/>
              </w:rPr>
              <w:t xml:space="preserve"> сфер</w:t>
            </w:r>
            <w:r w:rsidR="00FD57C6" w:rsidRPr="00FD57C6">
              <w:rPr>
                <w:rFonts w:ascii="Times New Roman" w:hAnsi="Times New Roman" w:cs="Times New Roman"/>
              </w:rPr>
              <w:t>ах економіки</w:t>
            </w:r>
            <w:r w:rsidRPr="00FD57C6">
              <w:rPr>
                <w:rFonts w:ascii="Times New Roman" w:hAnsi="Times New Roman" w:cs="Times New Roman"/>
              </w:rPr>
              <w:t>.</w:t>
            </w:r>
          </w:p>
          <w:p w:rsidR="00815FA1" w:rsidRDefault="003D42A6" w:rsidP="00815F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Надання </w:t>
            </w:r>
            <w:r w:rsidRPr="00FD57C6">
              <w:rPr>
                <w:rFonts w:ascii="Times New Roman" w:hAnsi="Times New Roman" w:cs="Times New Roman"/>
              </w:rPr>
              <w:t>Антимонопольн</w:t>
            </w:r>
            <w:r>
              <w:rPr>
                <w:rFonts w:ascii="Times New Roman" w:hAnsi="Times New Roman" w:cs="Times New Roman"/>
              </w:rPr>
              <w:t>им</w:t>
            </w:r>
            <w:r w:rsidRPr="00FD57C6">
              <w:rPr>
                <w:rFonts w:ascii="Times New Roman" w:hAnsi="Times New Roman" w:cs="Times New Roman"/>
              </w:rPr>
              <w:t xml:space="preserve"> комітет</w:t>
            </w:r>
            <w:r>
              <w:rPr>
                <w:rFonts w:ascii="Times New Roman" w:hAnsi="Times New Roman" w:cs="Times New Roman"/>
              </w:rPr>
              <w:t>ом України чи адміністративною колегією</w:t>
            </w:r>
            <w:r w:rsidRPr="00FD57C6">
              <w:rPr>
                <w:rFonts w:ascii="Times New Roman" w:hAnsi="Times New Roman" w:cs="Times New Roman"/>
              </w:rPr>
              <w:t xml:space="preserve"> Антимонопольного комітету</w:t>
            </w:r>
            <w:r>
              <w:rPr>
                <w:rFonts w:ascii="Times New Roman" w:hAnsi="Times New Roman" w:cs="Times New Roman"/>
              </w:rPr>
              <w:t xml:space="preserve"> дозволу на концентрацію</w:t>
            </w:r>
            <w:r w:rsidRPr="00FD57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іноземним інвесторам</w:t>
            </w:r>
            <w:r w:rsidR="00D326B7">
              <w:rPr>
                <w:rFonts w:ascii="Times New Roman" w:hAnsi="Times New Roman" w:cs="Times New Roman"/>
              </w:rPr>
              <w:t xml:space="preserve">, що мають на меті набути контроль над </w:t>
            </w:r>
            <w:r w:rsidR="00D326B7" w:rsidRPr="00FD57C6">
              <w:rPr>
                <w:rFonts w:ascii="Times New Roman" w:hAnsi="Times New Roman" w:cs="Times New Roman"/>
              </w:rPr>
              <w:t xml:space="preserve">  суб’єкт</w:t>
            </w:r>
            <w:r w:rsidR="00D326B7">
              <w:rPr>
                <w:rFonts w:ascii="Times New Roman" w:hAnsi="Times New Roman" w:cs="Times New Roman"/>
              </w:rPr>
              <w:t>ом господарювання, що має</w:t>
            </w:r>
            <w:r w:rsidR="00D326B7" w:rsidRPr="00FD57C6">
              <w:rPr>
                <w:rFonts w:ascii="Times New Roman" w:hAnsi="Times New Roman" w:cs="Times New Roman"/>
              </w:rPr>
              <w:t xml:space="preserve"> стратегічне значення для національної безпеки України</w:t>
            </w:r>
            <w:r w:rsidR="00D326B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можливе виключно за умови погодження  </w:t>
            </w:r>
            <w:r w:rsidR="00D326B7">
              <w:rPr>
                <w:rFonts w:ascii="Times New Roman" w:hAnsi="Times New Roman" w:cs="Times New Roman"/>
              </w:rPr>
              <w:t>правочину</w:t>
            </w:r>
            <w:r w:rsidR="00D326B7" w:rsidRPr="00FD57C6">
              <w:rPr>
                <w:rFonts w:ascii="Times New Roman" w:hAnsi="Times New Roman" w:cs="Times New Roman"/>
              </w:rPr>
              <w:t xml:space="preserve"> </w:t>
            </w:r>
            <w:r w:rsidR="00D326B7">
              <w:rPr>
                <w:rFonts w:ascii="Times New Roman" w:hAnsi="Times New Roman" w:cs="Times New Roman"/>
              </w:rPr>
              <w:t>щодо здійснення іноземних інвестицій у стратегічних сферах</w:t>
            </w:r>
            <w:r w:rsidR="00D326B7" w:rsidRPr="00FD57C6">
              <w:rPr>
                <w:rFonts w:ascii="Times New Roman" w:hAnsi="Times New Roman" w:cs="Times New Roman"/>
              </w:rPr>
              <w:t xml:space="preserve"> </w:t>
            </w:r>
            <w:r w:rsidR="008971F0" w:rsidRPr="00FD57C6">
              <w:rPr>
                <w:rFonts w:ascii="Times New Roman" w:hAnsi="Times New Roman" w:cs="Times New Roman"/>
              </w:rPr>
              <w:t>Міжвідомчою Комісією з питань оцінки впливу іноземних інвестицій на національну безпеку України</w:t>
            </w:r>
            <w:r w:rsidR="00FD57C6" w:rsidRPr="00FD57C6">
              <w:rPr>
                <w:rFonts w:ascii="Times New Roman" w:hAnsi="Times New Roman" w:cs="Times New Roman"/>
              </w:rPr>
              <w:t>.</w:t>
            </w:r>
          </w:p>
          <w:p w:rsidR="003D42A6" w:rsidRPr="00FD57C6" w:rsidRDefault="003D42A6" w:rsidP="00815FA1">
            <w:pPr>
              <w:jc w:val="both"/>
              <w:rPr>
                <w:rFonts w:ascii="Times New Roman" w:hAnsi="Times New Roman" w:cs="Times New Roman"/>
              </w:rPr>
            </w:pPr>
          </w:p>
          <w:p w:rsidR="00FD57C6" w:rsidRPr="00FD57C6" w:rsidRDefault="00FD57C6" w:rsidP="00815FA1">
            <w:pPr>
              <w:jc w:val="both"/>
              <w:rPr>
                <w:rFonts w:ascii="Times New Roman" w:hAnsi="Times New Roman" w:cs="Times New Roman"/>
              </w:rPr>
            </w:pPr>
          </w:p>
          <w:p w:rsidR="00815FA1" w:rsidRPr="00FD57C6" w:rsidRDefault="00815FA1" w:rsidP="00815FA1">
            <w:pPr>
              <w:jc w:val="both"/>
              <w:rPr>
                <w:rFonts w:ascii="Times New Roman" w:hAnsi="Times New Roman" w:cs="Times New Roman"/>
              </w:rPr>
            </w:pPr>
          </w:p>
          <w:p w:rsidR="008A2B5F" w:rsidRPr="00FD57C6" w:rsidRDefault="00815FA1" w:rsidP="00FD57C6">
            <w:pPr>
              <w:jc w:val="both"/>
              <w:rPr>
                <w:rFonts w:ascii="Times New Roman" w:hAnsi="Times New Roman" w:cs="Times New Roman"/>
              </w:rPr>
            </w:pPr>
            <w:r w:rsidRPr="00FD57C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54CBD" w:rsidRPr="00FD57C6" w:rsidRDefault="00354CBD" w:rsidP="00B62583">
      <w:pPr>
        <w:spacing w:line="240" w:lineRule="atLeast"/>
        <w:contextualSpacing/>
        <w:rPr>
          <w:rFonts w:ascii="Times New Roman" w:hAnsi="Times New Roman" w:cs="Times New Roman"/>
          <w:b/>
        </w:rPr>
      </w:pPr>
    </w:p>
    <w:p w:rsidR="00B62583" w:rsidRPr="00FD57C6" w:rsidRDefault="00192068" w:rsidP="00B62583">
      <w:pPr>
        <w:spacing w:line="240" w:lineRule="atLeast"/>
        <w:contextualSpacing/>
        <w:rPr>
          <w:rFonts w:ascii="Times New Roman" w:hAnsi="Times New Roman" w:cs="Times New Roman"/>
          <w:b/>
        </w:rPr>
      </w:pPr>
      <w:r w:rsidRPr="00FD57C6">
        <w:rPr>
          <w:rFonts w:ascii="Times New Roman" w:hAnsi="Times New Roman" w:cs="Times New Roman"/>
          <w:b/>
        </w:rPr>
        <w:t>Заступник директора департаменту</w:t>
      </w:r>
      <w:r w:rsidR="00B62583" w:rsidRPr="00FD57C6">
        <w:rPr>
          <w:rFonts w:ascii="Times New Roman" w:hAnsi="Times New Roman" w:cs="Times New Roman"/>
          <w:b/>
        </w:rPr>
        <w:t xml:space="preserve"> </w:t>
      </w:r>
    </w:p>
    <w:p w:rsidR="00192068" w:rsidRPr="00FD57C6" w:rsidRDefault="00192068" w:rsidP="00B62583">
      <w:pPr>
        <w:spacing w:line="240" w:lineRule="atLeast"/>
        <w:contextualSpacing/>
        <w:rPr>
          <w:rFonts w:ascii="Times New Roman" w:hAnsi="Times New Roman" w:cs="Times New Roman"/>
          <w:b/>
        </w:rPr>
      </w:pPr>
      <w:r w:rsidRPr="00FD57C6">
        <w:rPr>
          <w:rFonts w:ascii="Times New Roman" w:hAnsi="Times New Roman" w:cs="Times New Roman"/>
          <w:b/>
        </w:rPr>
        <w:t>економіки безпеки і оборони –</w:t>
      </w:r>
    </w:p>
    <w:p w:rsidR="00192068" w:rsidRPr="00FD57C6" w:rsidRDefault="00192068" w:rsidP="00B62583">
      <w:pPr>
        <w:spacing w:line="240" w:lineRule="atLeast"/>
        <w:contextualSpacing/>
        <w:rPr>
          <w:rFonts w:ascii="Times New Roman" w:hAnsi="Times New Roman" w:cs="Times New Roman"/>
          <w:b/>
        </w:rPr>
      </w:pPr>
      <w:r w:rsidRPr="00FD57C6">
        <w:rPr>
          <w:rFonts w:ascii="Times New Roman" w:hAnsi="Times New Roman" w:cs="Times New Roman"/>
          <w:b/>
        </w:rPr>
        <w:t>начальник управління військово-промислової політики</w:t>
      </w:r>
      <w:r w:rsidR="00FF569D" w:rsidRPr="00FD57C6">
        <w:rPr>
          <w:rFonts w:ascii="Times New Roman" w:hAnsi="Times New Roman" w:cs="Times New Roman"/>
          <w:b/>
        </w:rPr>
        <w:tab/>
      </w:r>
      <w:r w:rsidR="00FF569D" w:rsidRPr="00FD57C6">
        <w:rPr>
          <w:rFonts w:ascii="Times New Roman" w:hAnsi="Times New Roman" w:cs="Times New Roman"/>
          <w:b/>
        </w:rPr>
        <w:tab/>
      </w:r>
      <w:r w:rsidR="00FF569D" w:rsidRPr="00FD57C6">
        <w:rPr>
          <w:rFonts w:ascii="Times New Roman" w:hAnsi="Times New Roman" w:cs="Times New Roman"/>
          <w:b/>
        </w:rPr>
        <w:tab/>
      </w:r>
      <w:r w:rsidR="00FF569D" w:rsidRPr="00FD57C6">
        <w:rPr>
          <w:rFonts w:ascii="Times New Roman" w:hAnsi="Times New Roman" w:cs="Times New Roman"/>
          <w:b/>
        </w:rPr>
        <w:tab/>
      </w:r>
      <w:r w:rsidR="00FF569D" w:rsidRPr="00FD57C6">
        <w:rPr>
          <w:rFonts w:ascii="Times New Roman" w:hAnsi="Times New Roman" w:cs="Times New Roman"/>
          <w:b/>
        </w:rPr>
        <w:tab/>
      </w:r>
      <w:r w:rsidR="00FF569D" w:rsidRPr="00FD57C6">
        <w:rPr>
          <w:rFonts w:ascii="Times New Roman" w:hAnsi="Times New Roman" w:cs="Times New Roman"/>
          <w:b/>
        </w:rPr>
        <w:tab/>
      </w:r>
      <w:r w:rsidR="00FF569D" w:rsidRPr="00FD57C6">
        <w:rPr>
          <w:rFonts w:ascii="Times New Roman" w:hAnsi="Times New Roman" w:cs="Times New Roman"/>
          <w:b/>
        </w:rPr>
        <w:tab/>
      </w:r>
      <w:r w:rsidR="00FF569D" w:rsidRPr="00FD57C6">
        <w:rPr>
          <w:rFonts w:ascii="Times New Roman" w:hAnsi="Times New Roman" w:cs="Times New Roman"/>
          <w:b/>
        </w:rPr>
        <w:tab/>
        <w:t>Сергій СМЕТАНКО</w:t>
      </w:r>
    </w:p>
    <w:p w:rsidR="008E2325" w:rsidRPr="00FD57C6" w:rsidRDefault="008E2325" w:rsidP="00B62583">
      <w:pPr>
        <w:spacing w:line="240" w:lineRule="atLeast"/>
        <w:rPr>
          <w:b/>
        </w:rPr>
      </w:pPr>
    </w:p>
    <w:p w:rsidR="008B14AA" w:rsidRPr="00B62583" w:rsidRDefault="008E2325">
      <w:pPr>
        <w:rPr>
          <w:lang w:val="en-US"/>
        </w:rPr>
      </w:pPr>
      <w:r w:rsidRPr="00FD57C6">
        <w:rPr>
          <w:rFonts w:ascii="Times New Roman" w:hAnsi="Times New Roman" w:cs="Times New Roman"/>
        </w:rPr>
        <w:t>_____ ______________ 20__ р.</w:t>
      </w:r>
    </w:p>
    <w:sectPr w:rsidR="008B14AA" w:rsidRPr="00B62583" w:rsidSect="00FD57C6">
      <w:pgSz w:w="16838" w:h="11906" w:orient="landscape"/>
      <w:pgMar w:top="28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3C"/>
    <w:rsid w:val="000F1B32"/>
    <w:rsid w:val="00192068"/>
    <w:rsid w:val="001D1681"/>
    <w:rsid w:val="00354CBD"/>
    <w:rsid w:val="003D42A6"/>
    <w:rsid w:val="0050123E"/>
    <w:rsid w:val="00547189"/>
    <w:rsid w:val="005D6F9C"/>
    <w:rsid w:val="006A5B0B"/>
    <w:rsid w:val="007D0467"/>
    <w:rsid w:val="008069A6"/>
    <w:rsid w:val="00815FA1"/>
    <w:rsid w:val="0082476C"/>
    <w:rsid w:val="00890BF0"/>
    <w:rsid w:val="008971F0"/>
    <w:rsid w:val="008A2B5F"/>
    <w:rsid w:val="008B14AA"/>
    <w:rsid w:val="008C72BF"/>
    <w:rsid w:val="008E2325"/>
    <w:rsid w:val="00927FA3"/>
    <w:rsid w:val="0093363C"/>
    <w:rsid w:val="009F68BF"/>
    <w:rsid w:val="00A3562D"/>
    <w:rsid w:val="00B00A34"/>
    <w:rsid w:val="00B05FC4"/>
    <w:rsid w:val="00B32363"/>
    <w:rsid w:val="00B62583"/>
    <w:rsid w:val="00CC08C4"/>
    <w:rsid w:val="00D326B7"/>
    <w:rsid w:val="00F9419F"/>
    <w:rsid w:val="00FD57C6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38B87-28A7-45B1-8991-FEE4554B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7D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8FB63-3615-4CA8-89A3-00D7F5DC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УДОД Маргарита Едуардівна</dc:creator>
  <cp:keywords/>
  <dc:description/>
  <cp:lastModifiedBy>Lenovo</cp:lastModifiedBy>
  <cp:revision>2</cp:revision>
  <dcterms:created xsi:type="dcterms:W3CDTF">2020-04-27T19:53:00Z</dcterms:created>
  <dcterms:modified xsi:type="dcterms:W3CDTF">2020-04-27T19:53:00Z</dcterms:modified>
</cp:coreProperties>
</file>