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B4" w:rsidRDefault="00DF45B4" w:rsidP="00DF45B4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Узагальнені і</w:t>
      </w:r>
      <w:r w:rsidRPr="00DF45B4">
        <w:rPr>
          <w:rFonts w:ascii="Times New Roman" w:hAnsi="Times New Roman" w:cs="Times New Roman"/>
          <w:b/>
          <w:sz w:val="26"/>
          <w:szCs w:val="26"/>
        </w:rPr>
        <w:t>нформаційно-аналітичні матеріали</w:t>
      </w:r>
    </w:p>
    <w:p w:rsidR="00601DF3" w:rsidRDefault="00DF45B4" w:rsidP="00DF45B4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5B4">
        <w:rPr>
          <w:rFonts w:ascii="Times New Roman" w:hAnsi="Times New Roman" w:cs="Times New Roman"/>
          <w:b/>
          <w:sz w:val="26"/>
          <w:szCs w:val="26"/>
        </w:rPr>
        <w:t>щодо наслідків вступу України до СОТ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для вітчизняної економіки</w:t>
      </w:r>
    </w:p>
    <w:p w:rsidR="00DF45B4" w:rsidRPr="00DF45B4" w:rsidRDefault="00DF45B4" w:rsidP="00DF45B4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1F5B" w:rsidRDefault="00071F5B" w:rsidP="001D28CE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Членство України в СОТ, набуте у 2008 році, було невід’ємним інтеграційним процесом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що, з одного боку, сприяло формуванню привабливого іміджу України серед країн торговельних партнерів, інвесторів, кредиторів, з іншого – вносило свої корективи </w:t>
      </w:r>
      <w:r w:rsidR="008F4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процеси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економічн</w:t>
      </w:r>
      <w:r w:rsidR="008F48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розвитк</w:t>
      </w:r>
      <w:r w:rsidR="008F4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F4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урахуванням специфіки, структури виробництва окремих секторів економіки, та відповідно рівня їх захищеності.</w:t>
      </w:r>
    </w:p>
    <w:p w:rsidR="008F4826" w:rsidRPr="007604D3" w:rsidRDefault="008F4826" w:rsidP="001D28CE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Звичайно </w:t>
      </w:r>
      <w:r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розвиток національної економіки з часу набуття членства України в СОТ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був 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неоднозначним та підпорядковувався </w:t>
      </w:r>
      <w:proofErr w:type="spellStart"/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різнофакторним</w:t>
      </w:r>
      <w:proofErr w:type="spellEnd"/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впливам. </w:t>
      </w:r>
    </w:p>
    <w:p w:rsidR="008F4826" w:rsidRPr="007604D3" w:rsidRDefault="008F4826" w:rsidP="001D28CE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2008-2009 роки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вплив світової фінансової кризи, що позначилося на формуванні негативної динаміки розвитку української економіки (в середньому за цей період падіння ВВП </w:t>
      </w:r>
      <w:r w:rsidR="00495AC7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становило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6,3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промислового виробництва –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12,8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8F4826" w:rsidRPr="007604D3" w:rsidRDefault="008F4826" w:rsidP="001D28CE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2010-2012 роки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період стабілізації та відновлення економічного зростання з урахуванням пожвавлення діяльності на світових ринках</w:t>
      </w:r>
      <w:r w:rsidR="00495AC7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активізації інвестиційної діяльності напередодні проведення фінальної частини чемпіонату Європи з футболу у 2012 році (в середньому за цей період зростання ВВП становило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="00495AC7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промислового виробництва – 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495AC7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95AC7" w:rsidRPr="007604D3" w:rsidRDefault="00495AC7" w:rsidP="00495AC7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2013-2015 роки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період, коли У</w:t>
      </w:r>
      <w:r w:rsidR="001B30D0" w:rsidRPr="007604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країна увійшла у глибоку кризу. З одного боку, внаслідок дестабілізації економічної ситуації через </w:t>
      </w:r>
      <w:r w:rsidR="001B30D0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анексію </w:t>
      </w:r>
      <w:r w:rsidR="007C3A6C" w:rsidRPr="007C3A6C">
        <w:rPr>
          <w:rFonts w:ascii="Times New Roman" w:eastAsia="Times New Roman" w:hAnsi="Times New Roman" w:cs="Times New Roman"/>
          <w:sz w:val="26"/>
          <w:szCs w:val="26"/>
          <w:lang w:eastAsia="ru-RU"/>
        </w:rPr>
        <w:t>у 2014 роц</w:t>
      </w:r>
      <w:r w:rsidR="007C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r w:rsidR="001B30D0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АР Крим і м. Севастополя та військовий конфлікт на сході країни,</w:t>
      </w:r>
      <w:r w:rsidRPr="007604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 іншого – погіршення зовнішньої кон’юнктури 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середньому за цей період падіння ВВП становило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5,5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промислового виробництва – </w:t>
      </w:r>
      <w:r w:rsidR="004464BD"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9,1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</w:t>
      </w:r>
    </w:p>
    <w:p w:rsidR="007604D3" w:rsidRDefault="007604D3" w:rsidP="007604D3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переважання негативних чинників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виробничій сфері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пов’язаних з логістичними проблемами, відбувалися процеси зміни структури випуску у бік зменшення частки промислового виробництва (до 45% у 2015 році порівняно з 49,2% у 2012 році). Разом з тим, сільськогосподарське виробництво, яке найменш постраждало від військового конфлікту</w:t>
      </w:r>
      <w:r w:rsidR="00EA44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збільшило свою частку у структурі випуску по економіці до 12,9% у 2015 році порівняно з 8,5% у 2012 році. </w:t>
      </w:r>
    </w:p>
    <w:p w:rsidR="006E69EC" w:rsidRPr="006E69EC" w:rsidRDefault="007604D3" w:rsidP="007604D3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умовах </w:t>
      </w:r>
      <w:r w:rsid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падіння світових цін на продукцію українського експорту відбувалось падіння зовнішньої торгівлі (</w:t>
      </w:r>
      <w:r w:rsidR="006E69EC" w:rsidRPr="003A57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середньому за 2013-2015</w:t>
      </w:r>
      <w:r w:rsid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роки</w:t>
      </w:r>
      <w:r w:rsidR="006E69EC" w:rsidRPr="003A5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падіння вартісних обсягів експорту товарів та послуг становило </w:t>
      </w:r>
      <w:r w:rsidR="003A5712" w:rsidRPr="003A5712">
        <w:rPr>
          <w:rFonts w:ascii="Times New Roman" w:eastAsia="Times New Roman" w:hAnsi="Times New Roman" w:cs="Times New Roman"/>
          <w:sz w:val="26"/>
          <w:szCs w:val="26"/>
          <w:lang w:eastAsia="ru-RU"/>
        </w:rPr>
        <w:t>35,7</w:t>
      </w:r>
      <w:r w:rsidR="006E69EC" w:rsidRPr="003A5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</w:t>
      </w:r>
      <w:r w:rsidR="006E69EC" w:rsidRP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Хоча в результаті </w:t>
      </w:r>
      <w:r w:rsid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переважання процесів </w:t>
      </w:r>
      <w:r w:rsidR="006E69EC" w:rsidRP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звуження внутрішнього ринку у структурі використання </w:t>
      </w:r>
      <w:r w:rsid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вітчизняної </w:t>
      </w:r>
      <w:r w:rsidR="006E69EC" w:rsidRP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продукції частка експорту товарів та послуг </w:t>
      </w:r>
      <w:r w:rsid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збільшилася </w:t>
      </w:r>
      <w:r w:rsidR="006E69EC" w:rsidRP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21% у 2015 році порівняно з 18,3% у 2012 році.</w:t>
      </w:r>
      <w:r w:rsidR="006E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EC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 того, даний період характеризувався зміною географічної структури експорту на користь збільшення частки експорту до ЄС (до</w:t>
      </w:r>
      <w:r w:rsidR="00DD5C1F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29,5%</w:t>
      </w:r>
      <w:r w:rsidR="006E69EC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</w:t>
      </w:r>
      <w:r w:rsidR="00DD5C1F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22,6% у 2012 році</w:t>
      </w:r>
      <w:r w:rsidR="006E69EC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зменшенні частки експорту до РФ (до </w:t>
      </w:r>
      <w:r w:rsidR="00DD5C1F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11,9% </w:t>
      </w:r>
      <w:r w:rsidR="006E69EC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</w:t>
      </w:r>
      <w:r w:rsidR="00DD5C1F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24,7% відповідно</w:t>
      </w:r>
      <w:r w:rsidR="006E69EC" w:rsidRPr="00DD5C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30D0" w:rsidRPr="00071F5B" w:rsidRDefault="001B30D0" w:rsidP="001D28CE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дивлячись на загальний негативний макроекономічний фон, </w:t>
      </w: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починаючи з квітня-травня 2015 року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спостерігалось певне покращення ключових індикаторів економічного розвитку завдяки деескалації військового конфлікту на сході, поступовому відновленню виробничої активності, наявності девальваційних переваг, зниженню панічних настроїв населення.</w:t>
      </w:r>
    </w:p>
    <w:p w:rsidR="00C02AAA" w:rsidRPr="00495AC7" w:rsidRDefault="00C02AAA" w:rsidP="001D28CE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Долаючи складнощі, викликані зовнішнім середовищем, що значно загострилися </w:t>
      </w: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початку 2016 року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(чергове впровадження обмежень з боку РФ, падіння світових цін на ключових товарних ринках вітчизняного експорту на фоні жорсткої світової конкуренції й досить повільного економічного розвитку основних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торгівельних партнерів), економіка України протягом 2016 року демонструвала ознаки поступового подолання негативних наслідків тривалої кризи. Так, завдяки виваженим крокам Уряду, поступовому оновленню зруйнованих виробничих </w:t>
      </w:r>
      <w:proofErr w:type="spellStart"/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зв’язків</w:t>
      </w:r>
      <w:proofErr w:type="spellEnd"/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формуванню нових </w:t>
      </w:r>
      <w:r w:rsidR="00EA44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пріоритетів в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економічн</w:t>
      </w:r>
      <w:r w:rsidR="00EA44FD">
        <w:rPr>
          <w:rFonts w:ascii="Times New Roman" w:eastAsia="Times New Roman" w:hAnsi="Times New Roman" w:cs="Times New Roman"/>
          <w:sz w:val="26"/>
          <w:szCs w:val="26"/>
          <w:lang w:eastAsia="ru-RU"/>
        </w:rPr>
        <w:t>ій політиці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вдалося закріпити макроекономічну стабільність та відновити економічне зростання з тенденцією до прискорення.</w:t>
      </w:r>
      <w:r w:rsidR="005D15BB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підсумком 2016 року зрост</w:t>
      </w:r>
      <w:r w:rsidR="005D15BB" w:rsidRPr="00495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ання реального ВВП становило 2,4%.</w:t>
      </w:r>
      <w:r w:rsidRPr="00495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769F4" w:rsidRDefault="001769F4" w:rsidP="001D28CE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наслідок розширення внутрішнього інвестиційного та споживчого попиту та часткової компенсації та географічної переорієнтації у зовнішній торгівлі у 2016 році мало місце зростання усіх без виключення видів економічної діяльності реального сектору економіки.</w:t>
      </w:r>
    </w:p>
    <w:p w:rsidR="00B70807" w:rsidRPr="00CD5692" w:rsidRDefault="00A729FF" w:rsidP="00A729FF">
      <w:pPr>
        <w:keepNext/>
        <w:keepLines/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Слід відмітити, що в перше, впродовж тривалого періоду у 2016 році відбулися поступові 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структурні зрушення у напрямку вирівнювання </w:t>
      </w:r>
      <w:r w:rsidR="00FD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сформованих попередньою кризою 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структурних диспропорцій, зокрема: збільшення інвестиційної складової у структурі ВВП</w:t>
      </w:r>
      <w:r w:rsidR="00CB0694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структурі ВВП частка ВНОК у 2016 році зросла до 15,5% порівняно з 13,5% у 2015 році)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зростання частки виробничої сфери за рахунок переробної промисловості</w:t>
      </w:r>
      <w:r w:rsidR="00CB0694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структурі випуску по економіці частка промисловості зросла до 46,1% порівняно з 45% відповідно)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збільшення частки виробництва продукції з використанням високих технологій</w:t>
      </w:r>
      <w:r w:rsidR="00CB0694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структурі переробної промисловості частка виробництва з використанням високих технологій зросла до 5,3% порівняно з 4,6% відповідно)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зменшення рівня енергоємності</w:t>
      </w:r>
      <w:r w:rsidR="00CB0694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(рівень енергоємності ВВП 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економіки</w:t>
      </w:r>
      <w:r w:rsidR="00B70807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зменшився до 0,28 порівняно з 0,282 відповідно)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769F4" w:rsidRDefault="001769F4" w:rsidP="001D28CE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році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завдяки реалізації задекларованих Урядом реформ та запуску масштабних інвестиційних проектів (інфраструктурних, оборонних, енергоефективних) простежувались позитивні структурні зрушення в економіці у частині посилення інвестиційної складової розвитку та підв</w:t>
      </w:r>
      <w:r w:rsidR="00F96D2C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ищення рівня доходів населення. </w:t>
      </w:r>
      <w:r w:rsidRPr="00495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підсумком 2017 року реальне зростання ВВП становило 2,5%.</w:t>
      </w:r>
    </w:p>
    <w:p w:rsidR="00E52405" w:rsidRPr="00071F5B" w:rsidRDefault="00E52405" w:rsidP="00E52405">
      <w:pPr>
        <w:keepNext/>
        <w:keepLines/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Рис. 1 Динаміка ВВП, </w:t>
      </w:r>
      <w:r w:rsidRPr="00E524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% до попереднього року та 2007=100%</w:t>
      </w:r>
    </w:p>
    <w:p w:rsidR="00E52405" w:rsidRDefault="00E52405" w:rsidP="00E52405">
      <w:r>
        <w:rPr>
          <w:noProof/>
          <w:lang w:eastAsia="uk-UA"/>
        </w:rPr>
        <w:drawing>
          <wp:inline distT="0" distB="0" distL="0" distR="0" wp14:anchorId="7DCC2C57" wp14:editId="1CCDEEE2">
            <wp:extent cx="6029325" cy="222885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405" w:rsidRPr="00E52405" w:rsidRDefault="00E52405" w:rsidP="00E52405">
      <w:pPr>
        <w:rPr>
          <w:rFonts w:ascii="Times New Roman" w:hAnsi="Times New Roman" w:cs="Times New Roman"/>
          <w:i/>
        </w:rPr>
      </w:pPr>
      <w:r w:rsidRPr="00E52405">
        <w:rPr>
          <w:rFonts w:ascii="Times New Roman" w:hAnsi="Times New Roman" w:cs="Times New Roman"/>
          <w:i/>
        </w:rPr>
        <w:t>Джерело. ДСС</w:t>
      </w:r>
    </w:p>
    <w:p w:rsidR="001769F4" w:rsidRPr="00CD5692" w:rsidRDefault="001769F4" w:rsidP="001D28CE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 визначальних рис економічного розвитку у 2017</w:t>
      </w:r>
      <w:r w:rsidR="005923E5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році можна виділити</w:t>
      </w:r>
      <w:r w:rsidR="00F96D2C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суттєве зростання заробітної плати, скоригованої на індекс споживчих цін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 19,1% порівняно з 2016 роком) в умовах підвищення мінімальної заробітної плати до 3200 гривень, що було базою для розширення споживчого попиту населення;</w:t>
      </w:r>
      <w:r w:rsidR="00F96D2C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двозначні темпи зростання обсягів капітальних інвестицій (на 22,1%), що обумовлювало розвиток інвестиційно-спрямованих галузей промисловості та будівництва</w:t>
      </w:r>
      <w:r w:rsidR="00F96D2C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покращення експортної спроможності країни (за даними Національного банку вартісні обсяги експорту товарів та послуг збільшились на 17,3% порівняно з 2016 роком) на фоні розширення інтеграційних процесів з європейським </w:t>
      </w: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співтовариством та в умовах кращої зовнішньоекономічної кон’юнктури на основні товари вітчизняного експорту. </w:t>
      </w:r>
    </w:p>
    <w:p w:rsidR="004913C4" w:rsidRPr="00CD5692" w:rsidRDefault="00B25577" w:rsidP="0025036B">
      <w:pPr>
        <w:widowControl w:val="0"/>
        <w:spacing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наслідок, у</w:t>
      </w:r>
      <w:r w:rsidR="004913C4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році продовжують відбуватися позитивні структурні зрушення: частка ВНОК у структурі ВВП зросла до 16% порівняно з 15,5% у 2016 році, </w:t>
      </w:r>
      <w:r w:rsidR="00B96FE0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структурі реалізації промислової продукції частка виробництва з використанням високих та </w:t>
      </w:r>
      <w:proofErr w:type="spellStart"/>
      <w:r w:rsidR="00B96FE0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середньовисоких</w:t>
      </w:r>
      <w:proofErr w:type="spellEnd"/>
      <w:r w:rsidR="00B96FE0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технологій зросла до 11,1% порівняно з 10,1% відповідно, зокрема, частка машинобудування </w:t>
      </w:r>
      <w:r w:rsidR="0014517C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96FE0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17C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зросла </w:t>
      </w:r>
      <w:r w:rsidR="00B96FE0"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7% порівняно з 6,1% відповідно.</w:t>
      </w:r>
    </w:p>
    <w:p w:rsidR="000C747B" w:rsidRDefault="001769F4" w:rsidP="00B22858">
      <w:pPr>
        <w:widowControl w:val="0"/>
        <w:spacing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Розширення внутрішнього попиту, відкриття нових підприємств, диверсифікація ринків збуту та сприятлива зовнішня кон’юнктура дозволили компенсувати негативний вплив від припинення переміщення вантажів через лінію зіткнення у межах Донецької та Луганської областей (“транспо</w:t>
      </w:r>
      <w:r w:rsidR="00B22858">
        <w:rPr>
          <w:rFonts w:ascii="Times New Roman" w:eastAsia="Times New Roman" w:hAnsi="Times New Roman" w:cs="Times New Roman"/>
          <w:sz w:val="26"/>
          <w:szCs w:val="26"/>
          <w:lang w:eastAsia="ru-RU"/>
        </w:rPr>
        <w:t>ртна блокада</w:t>
      </w:r>
      <w:r w:rsidR="00B22858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>”), що, в свою чергу, мало негативний вплив на виробничу діяльн</w:t>
      </w:r>
      <w:r w:rsidR="006577BC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="00B22858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6577BC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22858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гірничо-металургійного комплексу та електроенергетики. Разом з тим, наприкінці 2017 року, н</w:t>
      </w:r>
      <w:r w:rsidR="000C747B" w:rsidRPr="00657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айбільш високі темпи адаптації до складних виробничих умов продемонструвало металургійне виробництво (у 2017 році у структурі обсягів реалізації промислової продукції частка металургійного виробництва зросла до 18,2% порівняно з 14,8% у  2016 році).</w:t>
      </w:r>
    </w:p>
    <w:p w:rsidR="00495AC7" w:rsidRPr="00071F5B" w:rsidRDefault="00495AC7" w:rsidP="0025036B">
      <w:pPr>
        <w:widowControl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Отже, у період з моменту вступу України в СОТ (2008-2018 роки) економіка України перебувала під впливом декількох етапів світової фінансово-економічної кризи, військового конфлікту, втрати частини промислового потенціалу та гостро відчувала їх негативні наслідки, що відповідно</w:t>
      </w:r>
      <w:r w:rsidRPr="00071F5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071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позначилося на певних структурних змінах у вітчизняній економіці.</w:t>
      </w:r>
    </w:p>
    <w:p w:rsidR="00495AC7" w:rsidRPr="00071F5B" w:rsidRDefault="00495AC7" w:rsidP="0025036B">
      <w:pPr>
        <w:widowControl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Водночас можна констатувати, що найсуттєвішими перевагами вступу України до СОТ є зменшення тарифних та нетарифних обмежень доступу українських товарів на світові товарні ринки, отримання українськими товарами режиму найбільшого сприяння у торговельному просторі країн-членів СОТ та можливість захисту інтересів національних виробників відповідно до процедури розгляду торгових спорів СОТ.</w:t>
      </w:r>
    </w:p>
    <w:p w:rsidR="00BA66D1" w:rsidRPr="00071F5B" w:rsidRDefault="00B25577" w:rsidP="00BA66D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column"/>
      </w:r>
      <w:r w:rsidR="00BA66D1" w:rsidRPr="00071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Таблиця 1</w:t>
      </w:r>
    </w:p>
    <w:p w:rsidR="003C4370" w:rsidRDefault="00BA66D1" w:rsidP="00E1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</w:pPr>
      <w:r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Основні макроекономічні показники у 2008 – 2018 роках</w:t>
      </w:r>
      <w:r w:rsidR="00CD5692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  <w:t>*</w:t>
      </w:r>
    </w:p>
    <w:p w:rsidR="00BA66D1" w:rsidRPr="00071F5B" w:rsidRDefault="00BA66D1" w:rsidP="00E1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</w:t>
      </w:r>
      <w:r w:rsidR="00E15263" w:rsidRPr="00071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%</w:t>
      </w:r>
      <w:r w:rsidRPr="00071F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 попереднього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9"/>
        <w:gridCol w:w="645"/>
        <w:gridCol w:w="639"/>
        <w:gridCol w:w="600"/>
        <w:gridCol w:w="681"/>
        <w:gridCol w:w="639"/>
        <w:gridCol w:w="641"/>
        <w:gridCol w:w="536"/>
        <w:gridCol w:w="639"/>
        <w:gridCol w:w="626"/>
        <w:gridCol w:w="826"/>
      </w:tblGrid>
      <w:tr w:rsidR="001A378C" w:rsidRPr="00071F5B" w:rsidTr="00CD5692">
        <w:trPr>
          <w:trHeight w:val="397"/>
          <w:tblHeader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Показник</w:t>
            </w:r>
          </w:p>
        </w:tc>
        <w:tc>
          <w:tcPr>
            <w:tcW w:w="347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2008</w:t>
            </w:r>
          </w:p>
        </w:tc>
        <w:tc>
          <w:tcPr>
            <w:tcW w:w="350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2009</w:t>
            </w:r>
          </w:p>
        </w:tc>
        <w:tc>
          <w:tcPr>
            <w:tcW w:w="347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2010</w:t>
            </w:r>
          </w:p>
        </w:tc>
        <w:tc>
          <w:tcPr>
            <w:tcW w:w="326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2011</w:t>
            </w:r>
          </w:p>
        </w:tc>
        <w:tc>
          <w:tcPr>
            <w:tcW w:w="369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2012</w:t>
            </w:r>
          </w:p>
        </w:tc>
        <w:tc>
          <w:tcPr>
            <w:tcW w:w="347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2013</w:t>
            </w:r>
          </w:p>
        </w:tc>
        <w:tc>
          <w:tcPr>
            <w:tcW w:w="348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2014</w:t>
            </w:r>
          </w:p>
        </w:tc>
        <w:tc>
          <w:tcPr>
            <w:tcW w:w="28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445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січ.-</w:t>
            </w:r>
            <w:proofErr w:type="spellStart"/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лют</w:t>
            </w:r>
            <w:proofErr w:type="spellEnd"/>
            <w:r w:rsidRPr="00071F5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 2018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ВВП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2,3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-14,8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4,1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5,5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-6,6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-9,8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2,4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2,5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Індекс промислової продукції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-5,0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-20,6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12,2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8,0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-0,7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-4,3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-10,1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-13,0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2,8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17,1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ru-RU"/>
              </w:rPr>
              <w:t>-1,8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ru-RU"/>
              </w:rPr>
              <w:t>-1,4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20,2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-3,9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13,6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2,2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-4,8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-2,7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-0,3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Індекс будівельної продукції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-15,8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-48,2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-5,4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20,0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-7,3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-11,0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-20,4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-12,3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0,7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1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Оптова та роздрібна торгівля, ремонт автотранспортних засобів і мотоциклів (випуск)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-18,7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4,9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4,9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3,7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1,9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-12,5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-13,1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9,8</w:t>
            </w:r>
            <w:r w:rsidR="001A378C" w:rsidRPr="00071F5B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t>***</w:t>
            </w:r>
            <w:r w:rsidR="00CD5692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Транспорт, складське господарство, поштова та кур’єрська діяльність (випуск)</w:t>
            </w:r>
            <w:r w:rsidR="001A378C"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8,1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-12,9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1,9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13,9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-0,9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2,1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-9,0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-2,9</w:t>
            </w:r>
          </w:p>
        </w:tc>
        <w:tc>
          <w:tcPr>
            <w:tcW w:w="347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3,5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-0,9</w:t>
            </w:r>
            <w:r w:rsidR="001A378C" w:rsidRPr="00071F5B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t>***</w:t>
            </w:r>
            <w:r w:rsidR="00CD5692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 споживчих цін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25,2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15,9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9,4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8,0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0,6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-0,3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12,1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14,4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14,1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Офіційний курс гривні до </w:t>
            </w:r>
            <w:proofErr w:type="spellStart"/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</w:t>
            </w:r>
            <w:proofErr w:type="spellEnd"/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США, на кінець періоду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7,700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7,985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7,962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7,990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7,993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7,993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15,769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24,00</w:t>
            </w:r>
          </w:p>
        </w:tc>
        <w:tc>
          <w:tcPr>
            <w:tcW w:w="347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27,2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28,1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26,9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Експорт товарів та послуг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34,3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-36,9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26,0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27,5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3,4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-5,5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-19,9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-26,9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17,3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Імпорт товарів та послуг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39,3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-44,2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28,8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34,8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7,5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-3,5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-28,1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-29,2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18,1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інвестиції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млрд. грн.</w:t>
            </w:r>
            <w:r w:rsidRPr="00071F5B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233,1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151,8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150,7*</w:t>
            </w:r>
            <w:r w:rsidR="00CD569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241,3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273,3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249,9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219,4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273,1</w:t>
            </w:r>
          </w:p>
        </w:tc>
        <w:tc>
          <w:tcPr>
            <w:tcW w:w="347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359,2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412,8</w:t>
            </w: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 відсотках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-2,6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-41,5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CD5692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-0,6***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14,2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8,3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-7,9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-24,1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-1,7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22,1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 реальної заробітної плати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6,3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-9,2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10,2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8,7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14,4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-6,5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-20,2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19,1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10,5</w:t>
            </w:r>
          </w:p>
        </w:tc>
      </w:tr>
      <w:tr w:rsidR="001A378C" w:rsidRPr="00071F5B" w:rsidTr="00CD5692">
        <w:trPr>
          <w:trHeight w:val="113"/>
        </w:trPr>
        <w:tc>
          <w:tcPr>
            <w:tcW w:w="1262" w:type="pct"/>
            <w:vAlign w:val="center"/>
          </w:tcPr>
          <w:p w:rsidR="00BA66D1" w:rsidRPr="00071F5B" w:rsidRDefault="00BA66D1" w:rsidP="0023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Рівень безробіття (за методологією</w:t>
            </w:r>
          </w:p>
          <w:p w:rsidR="00BA66D1" w:rsidRPr="00071F5B" w:rsidRDefault="00BA66D1" w:rsidP="0023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МОП), </w:t>
            </w:r>
            <w:r w:rsidRPr="00071F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 % до економічно активного</w:t>
            </w:r>
          </w:p>
          <w:p w:rsidR="00BA66D1" w:rsidRPr="00071F5B" w:rsidRDefault="00BA66D1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населення у віці 15-70 років</w:t>
            </w:r>
            <w:r w:rsidRPr="00071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6,4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8,8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8,2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8,0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7,6</w:t>
            </w:r>
          </w:p>
        </w:tc>
        <w:tc>
          <w:tcPr>
            <w:tcW w:w="347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7,3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9,3</w:t>
            </w:r>
          </w:p>
        </w:tc>
        <w:tc>
          <w:tcPr>
            <w:tcW w:w="28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9,5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BA66D1" w:rsidRPr="00071F5B" w:rsidRDefault="00BA66D1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</w:tbl>
    <w:p w:rsidR="00BA66D1" w:rsidRPr="00071F5B" w:rsidRDefault="00BA66D1" w:rsidP="00BA6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Джерело. </w:t>
      </w:r>
      <w:proofErr w:type="spellStart"/>
      <w:r w:rsidRPr="00071F5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Держстат</w:t>
      </w:r>
      <w:proofErr w:type="spellEnd"/>
      <w:r w:rsidRPr="00071F5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, НБУ</w:t>
      </w:r>
      <w:r w:rsidR="001A378C" w:rsidRPr="00071F5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. </w:t>
      </w:r>
    </w:p>
    <w:p w:rsidR="00CD5692" w:rsidRPr="00CD5692" w:rsidRDefault="00CD5692" w:rsidP="00CD5692">
      <w:pPr>
        <w:pStyle w:val="a3"/>
        <w:jc w:val="both"/>
        <w:rPr>
          <w:sz w:val="18"/>
          <w:szCs w:val="18"/>
        </w:rPr>
      </w:pPr>
      <w:r>
        <w:rPr>
          <w:rFonts w:eastAsia="Times New Roman"/>
          <w:i/>
        </w:rPr>
        <w:t xml:space="preserve">* - </w:t>
      </w:r>
      <w:r w:rsidRPr="00CD5692">
        <w:rPr>
          <w:rFonts w:eastAsia="Times New Roman"/>
          <w:i/>
        </w:rPr>
        <w:t>Статистичні показники у 200</w:t>
      </w:r>
      <w:r>
        <w:rPr>
          <w:rFonts w:eastAsia="Times New Roman"/>
          <w:i/>
        </w:rPr>
        <w:t>8</w:t>
      </w:r>
      <w:r w:rsidRPr="00CD5692">
        <w:rPr>
          <w:rFonts w:eastAsia="Times New Roman"/>
          <w:i/>
        </w:rPr>
        <w:t>-2009 роках з урахуванням тимчасово окупованої території АР Крим та м. Севастополь, за 2010-2013 без урахування тимчасово окупованої території АР Крим та м. Севастопо</w:t>
      </w:r>
      <w:r w:rsidR="00203402">
        <w:rPr>
          <w:rFonts w:eastAsia="Times New Roman"/>
          <w:i/>
        </w:rPr>
        <w:t>ль, за 2014-2016 без урахування</w:t>
      </w:r>
      <w:r w:rsidRPr="00CD5692">
        <w:rPr>
          <w:rFonts w:eastAsia="Times New Roman"/>
          <w:i/>
        </w:rPr>
        <w:t xml:space="preserve"> тимчасово окупованої території АР Крим, м. Севастополя та частини зони проведення антитерористичної операції.</w:t>
      </w:r>
    </w:p>
    <w:p w:rsidR="00BA66D1" w:rsidRPr="00071F5B" w:rsidRDefault="00CD5692" w:rsidP="00BA6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1A378C" w:rsidRPr="00071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</w:t>
      </w:r>
      <w:r w:rsidR="00BA66D1" w:rsidRPr="00071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Без ПДВ. Дані наведено з урахуванням тимчасово окупованої території АР Крим та м. Севастополь.</w:t>
      </w:r>
    </w:p>
    <w:p w:rsidR="00CD5692" w:rsidRPr="00CD5692" w:rsidRDefault="00CD5692" w:rsidP="00CD5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*** </w:t>
      </w:r>
      <w:r w:rsidRPr="00CD56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Дані наведено з урахуванням тимчасово окупованої території АР Крим та м. Севастополь.</w:t>
      </w:r>
    </w:p>
    <w:p w:rsidR="001A378C" w:rsidRPr="00071F5B" w:rsidRDefault="00CD5692" w:rsidP="00CD5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</w:t>
      </w:r>
      <w:r w:rsidR="002D77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розрахунки МЕРТ.</w:t>
      </w:r>
    </w:p>
    <w:p w:rsidR="001A378C" w:rsidRPr="002F22AF" w:rsidRDefault="001A378C" w:rsidP="002F22A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2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 2</w:t>
      </w:r>
    </w:p>
    <w:p w:rsidR="001A378C" w:rsidRPr="00071F5B" w:rsidRDefault="001A378C" w:rsidP="001A378C">
      <w:pPr>
        <w:keepNext/>
        <w:keepLines/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Структура використання по економіці в цілому, </w:t>
      </w:r>
      <w:r w:rsidR="00702CAC"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%</w:t>
      </w:r>
      <w:r w:rsidR="002034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1A378C" w:rsidRPr="00071F5B" w:rsidTr="000372B3">
        <w:trPr>
          <w:trHeight w:val="300"/>
        </w:trPr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Показники</w:t>
            </w:r>
          </w:p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Роки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2016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Проміжне споживання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60,3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 на кінцеве споживання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33,4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 домашніх господарств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25,7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 некомерційних організацій, які обслуговують домашні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 загального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7,4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Валове нагромадження капіталу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8,6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зміна запасів матеріальних оборотних коштів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чисте придбання цінностей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</w:t>
            </w:r>
            <w:r w:rsidR="00702CAC"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</w:t>
            </w:r>
            <w:r w:rsidR="00702CAC"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</w:t>
            </w:r>
            <w:r w:rsidR="00702CAC"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</w:t>
            </w:r>
            <w:r w:rsidR="00702CAC"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</w:t>
            </w:r>
            <w:r w:rsidR="00702CAC"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1A378C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Експорт</w:t>
            </w:r>
            <w:r w:rsidR="0023778C"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товарів та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19,6</w:t>
            </w:r>
          </w:p>
        </w:tc>
      </w:tr>
      <w:tr w:rsidR="001A378C" w:rsidRPr="00071F5B" w:rsidTr="000372B3">
        <w:trPr>
          <w:trHeight w:val="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Імпорт</w:t>
            </w:r>
            <w:r w:rsidR="0023778C" w:rsidRPr="00071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товарів та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-21,9</w:t>
            </w:r>
          </w:p>
        </w:tc>
      </w:tr>
      <w:tr w:rsidR="007D6840" w:rsidRPr="00071F5B" w:rsidTr="000372B3">
        <w:trPr>
          <w:trHeight w:val="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Всього використання </w:t>
            </w:r>
            <w:r w:rsidR="0023778C" w:rsidRPr="00071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товарів та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C" w:rsidRPr="00071F5B" w:rsidRDefault="001A378C" w:rsidP="007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:rsidR="00203402" w:rsidRDefault="001A378C" w:rsidP="007D6840">
      <w:pPr>
        <w:rPr>
          <w:rFonts w:ascii="Times New Roman" w:hAnsi="Times New Roman" w:cs="Times New Roman"/>
          <w:i/>
          <w:sz w:val="18"/>
        </w:rPr>
      </w:pPr>
      <w:r w:rsidRPr="00071F5B">
        <w:rPr>
          <w:rFonts w:ascii="Times New Roman" w:hAnsi="Times New Roman" w:cs="Times New Roman"/>
          <w:i/>
          <w:sz w:val="18"/>
        </w:rPr>
        <w:t>Джерело: розрахунки МЕРТ на базі звітних таблиць «витрати-випуск» за 2008-2016рр. у цінах споживачів</w:t>
      </w:r>
    </w:p>
    <w:p w:rsidR="00203402" w:rsidRPr="00CD5692" w:rsidRDefault="00203402" w:rsidP="00203402">
      <w:pPr>
        <w:pStyle w:val="a3"/>
        <w:jc w:val="both"/>
        <w:rPr>
          <w:sz w:val="18"/>
          <w:szCs w:val="18"/>
        </w:rPr>
      </w:pPr>
      <w:r>
        <w:rPr>
          <w:i/>
          <w:sz w:val="18"/>
        </w:rPr>
        <w:t>*</w:t>
      </w:r>
      <w:r>
        <w:rPr>
          <w:rFonts w:eastAsia="Times New Roman"/>
          <w:i/>
        </w:rPr>
        <w:t xml:space="preserve">- </w:t>
      </w:r>
      <w:r w:rsidRPr="00CD5692">
        <w:rPr>
          <w:rFonts w:eastAsia="Times New Roman"/>
          <w:i/>
        </w:rPr>
        <w:t>показники за 201</w:t>
      </w:r>
      <w:r>
        <w:rPr>
          <w:rFonts w:eastAsia="Times New Roman"/>
          <w:i/>
        </w:rPr>
        <w:t>2-2016</w:t>
      </w:r>
      <w:r w:rsidRPr="00CD5692">
        <w:rPr>
          <w:rFonts w:eastAsia="Times New Roman"/>
          <w:i/>
        </w:rPr>
        <w:t xml:space="preserve"> без урахування тимчасово окупованої території АР Крим та м. Севастопо</w:t>
      </w:r>
      <w:r>
        <w:rPr>
          <w:rFonts w:eastAsia="Times New Roman"/>
          <w:i/>
        </w:rPr>
        <w:t>ль, за 2014-2016 без урахування</w:t>
      </w:r>
      <w:r w:rsidRPr="00CD5692">
        <w:rPr>
          <w:rFonts w:eastAsia="Times New Roman"/>
          <w:i/>
        </w:rPr>
        <w:t xml:space="preserve"> тимчасово окупованої території АР Крим, м. Севастополя та частини зони проведення антитерористичної операції.</w:t>
      </w:r>
    </w:p>
    <w:p w:rsidR="001A378C" w:rsidRDefault="001A378C" w:rsidP="007D6840">
      <w:pPr>
        <w:rPr>
          <w:rFonts w:ascii="Times New Roman" w:hAnsi="Times New Roman" w:cs="Times New Roman"/>
          <w:i/>
          <w:sz w:val="18"/>
        </w:rPr>
      </w:pPr>
    </w:p>
    <w:p w:rsidR="00702CAC" w:rsidRPr="002F22AF" w:rsidRDefault="00702CAC" w:rsidP="002F22A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2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 3</w:t>
      </w:r>
    </w:p>
    <w:p w:rsidR="00702CAC" w:rsidRPr="00071F5B" w:rsidRDefault="00702CAC" w:rsidP="00702CAC">
      <w:pPr>
        <w:keepNext/>
        <w:keepLines/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Структура випуску по економіці, %</w:t>
      </w:r>
      <w:r w:rsidR="002034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97"/>
      </w:tblGrid>
      <w:tr w:rsidR="0023778C" w:rsidRPr="00071F5B" w:rsidTr="00702CAC">
        <w:trPr>
          <w:trHeight w:val="285"/>
        </w:trPr>
        <w:tc>
          <w:tcPr>
            <w:tcW w:w="2039" w:type="pct"/>
            <w:vMerge w:val="restar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ВЕД</w:t>
            </w:r>
          </w:p>
        </w:tc>
        <w:tc>
          <w:tcPr>
            <w:tcW w:w="2961" w:type="pct"/>
            <w:gridSpan w:val="10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Випуск, %</w:t>
            </w:r>
          </w:p>
        </w:tc>
      </w:tr>
      <w:tr w:rsidR="0023778C" w:rsidRPr="00071F5B" w:rsidTr="00702CAC">
        <w:trPr>
          <w:trHeight w:val="625"/>
        </w:trPr>
        <w:tc>
          <w:tcPr>
            <w:tcW w:w="2039" w:type="pct"/>
            <w:vMerge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ЄС-27 </w:t>
            </w:r>
          </w:p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2011 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Сільське, лісове та рибне господарство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7,5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8,1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8,1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8,5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9,8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11,3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12,9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1,7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Добувна промисловість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0,6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Переробна промисловість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42,9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39,8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41,3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41,6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39,5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36,9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36,9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36,4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25,3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3,9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Будівництво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7,2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Торгівля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9,8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11,1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11,1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9,6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Транспорт, складське господарство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7,4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8,2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7,7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6,2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5,6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ВЕД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46,1</w:t>
            </w:r>
          </w:p>
        </w:tc>
      </w:tr>
      <w:tr w:rsidR="0023778C" w:rsidRPr="00071F5B" w:rsidTr="00702CAC">
        <w:trPr>
          <w:trHeight w:val="170"/>
        </w:trPr>
        <w:tc>
          <w:tcPr>
            <w:tcW w:w="2039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3778C" w:rsidRPr="00071F5B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23778C" w:rsidRPr="00DD5C1F" w:rsidRDefault="0023778C" w:rsidP="0023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5C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</w:t>
            </w:r>
          </w:p>
        </w:tc>
      </w:tr>
    </w:tbl>
    <w:p w:rsidR="0023778C" w:rsidRDefault="0023778C" w:rsidP="0023778C">
      <w:pPr>
        <w:rPr>
          <w:rFonts w:ascii="Times New Roman" w:hAnsi="Times New Roman" w:cs="Times New Roman"/>
          <w:i/>
          <w:sz w:val="18"/>
        </w:rPr>
      </w:pPr>
      <w:r w:rsidRPr="00071F5B">
        <w:rPr>
          <w:rFonts w:ascii="Times New Roman" w:hAnsi="Times New Roman" w:cs="Times New Roman"/>
          <w:i/>
          <w:sz w:val="18"/>
        </w:rPr>
        <w:t xml:space="preserve">Джерело: розрахунки МЕРТ на базі звітних таблиць «витрати-випуск» за 2008-2016рр. у цінах споживачів </w:t>
      </w:r>
    </w:p>
    <w:p w:rsidR="00203402" w:rsidRPr="00CD5692" w:rsidRDefault="00203402" w:rsidP="00203402">
      <w:pPr>
        <w:pStyle w:val="a3"/>
        <w:jc w:val="both"/>
        <w:rPr>
          <w:sz w:val="18"/>
          <w:szCs w:val="18"/>
        </w:rPr>
      </w:pPr>
      <w:r>
        <w:rPr>
          <w:i/>
          <w:sz w:val="18"/>
        </w:rPr>
        <w:t>*</w:t>
      </w:r>
      <w:r>
        <w:rPr>
          <w:rFonts w:eastAsia="Times New Roman"/>
          <w:i/>
        </w:rPr>
        <w:t xml:space="preserve">- </w:t>
      </w:r>
      <w:r w:rsidRPr="00CD5692">
        <w:rPr>
          <w:rFonts w:eastAsia="Times New Roman"/>
          <w:i/>
        </w:rPr>
        <w:t>показники за 201</w:t>
      </w:r>
      <w:r>
        <w:rPr>
          <w:rFonts w:eastAsia="Times New Roman"/>
          <w:i/>
        </w:rPr>
        <w:t>2-2016</w:t>
      </w:r>
      <w:r w:rsidRPr="00CD5692">
        <w:rPr>
          <w:rFonts w:eastAsia="Times New Roman"/>
          <w:i/>
        </w:rPr>
        <w:t xml:space="preserve"> без урахування тимчасово окупованої території АР Крим та м. Севастопо</w:t>
      </w:r>
      <w:r>
        <w:rPr>
          <w:rFonts w:eastAsia="Times New Roman"/>
          <w:i/>
        </w:rPr>
        <w:t>ль, за 2014-2016 без урахування</w:t>
      </w:r>
      <w:r w:rsidRPr="00CD5692">
        <w:rPr>
          <w:rFonts w:eastAsia="Times New Roman"/>
          <w:i/>
        </w:rPr>
        <w:t xml:space="preserve"> тимчасово окупованої території АР Крим, м. Севастополя та частини зони проведення антитерористичної операції.</w:t>
      </w:r>
    </w:p>
    <w:p w:rsidR="00203402" w:rsidRPr="00071F5B" w:rsidRDefault="00203402" w:rsidP="0023778C">
      <w:pPr>
        <w:rPr>
          <w:rFonts w:ascii="Times New Roman" w:hAnsi="Times New Roman" w:cs="Times New Roman"/>
          <w:i/>
          <w:sz w:val="18"/>
        </w:rPr>
      </w:pPr>
    </w:p>
    <w:p w:rsidR="00077D9D" w:rsidRDefault="00077D9D" w:rsidP="00A729FF">
      <w:pPr>
        <w:widowControl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5E79" w:rsidRPr="002F22AF" w:rsidRDefault="00925E79" w:rsidP="00925E79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E79" w:rsidRPr="00071F5B" w:rsidRDefault="00925E79" w:rsidP="00925E79">
      <w:pPr>
        <w:keepNext/>
        <w:keepLines/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Частка у структурі експорту товарів та послуг і частка експорту у структурі використання продукції, у</w:t>
      </w:r>
      <w:r w:rsidRPr="00071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%</w:t>
      </w: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88"/>
        <w:gridCol w:w="699"/>
        <w:gridCol w:w="700"/>
        <w:gridCol w:w="700"/>
        <w:gridCol w:w="700"/>
        <w:gridCol w:w="700"/>
        <w:gridCol w:w="700"/>
        <w:gridCol w:w="700"/>
        <w:gridCol w:w="700"/>
      </w:tblGrid>
      <w:tr w:rsidR="00925E79" w:rsidRPr="00925E79" w:rsidTr="00DD5C1F">
        <w:trPr>
          <w:trHeight w:val="255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Частка</w:t>
            </w:r>
            <w:r w:rsidR="0020340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ВЕД</w:t>
            </w:r>
            <w:r w:rsidRPr="00925E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 структурі експорту,%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Частка експорту у структурі використання продукції,%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2016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Сільське, лісове та рибне господарство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29,1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Добування кам'яного та бурого вугілля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1,9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Добування сирої нафти та природного газу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2,7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Добування металевих руд, інших корисних копалин та розроблення кар'єрів; надання допоміжних послуг у сфері добувної промисловості та розроблення кар'єрів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45,6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харчових продуктів; напоїв та тютюнових виробів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24,5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Текстильне виробництво, виробництво одягу, шкіри та інших матеріалів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18,8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деревини, паперу; поліграфічна діяльність та тиражування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32,2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коксу та </w:t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коксопродуктів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4,5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продуктів </w:t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нафтоперероблення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6,2</w:t>
            </w:r>
          </w:p>
        </w:tc>
      </w:tr>
      <w:tr w:rsidR="00925E79" w:rsidRPr="00925E79" w:rsidTr="00DD5C1F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хімічних речовин</w:t>
            </w: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  <w:t>і хімічної продукції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26,8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7,5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гумових і пластмасових виробів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13,2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lastRenderedPageBreak/>
              <w:t>Виробництво іншої неметалевої мінеральної продукції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9,2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Металургійне виробництво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60,4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готових металевих виробів, крім машин і </w:t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устатковання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18,9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комп'ютерів, електронної та оптичної продукції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21,1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електричного </w:t>
            </w: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устатковання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38,0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машин і </w:t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устатковання</w:t>
            </w:r>
            <w:proofErr w:type="spellEnd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, не віднесених до інших угруповань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54,0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17,6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Виробництво інших транспортних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31,4</w:t>
            </w:r>
          </w:p>
        </w:tc>
      </w:tr>
      <w:tr w:rsidR="00925E79" w:rsidRPr="00925E79" w:rsidTr="00DD5C1F">
        <w:trPr>
          <w:trHeight w:val="2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Виробництво меблів; іншої продукції; ремонт і монтаж </w:t>
            </w: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  <w:t xml:space="preserve">машин і </w:t>
            </w:r>
            <w:proofErr w:type="spellStart"/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устатковання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5E79" w:rsidRP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25E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26,4</w:t>
            </w:r>
          </w:p>
        </w:tc>
      </w:tr>
    </w:tbl>
    <w:p w:rsidR="00BA66D1" w:rsidRDefault="00925E79" w:rsidP="00B25577">
      <w:pPr>
        <w:rPr>
          <w:rFonts w:ascii="Times New Roman" w:hAnsi="Times New Roman" w:cs="Times New Roman"/>
          <w:i/>
          <w:sz w:val="18"/>
        </w:rPr>
      </w:pPr>
      <w:r w:rsidRPr="00071F5B">
        <w:rPr>
          <w:rFonts w:ascii="Times New Roman" w:hAnsi="Times New Roman" w:cs="Times New Roman"/>
          <w:i/>
          <w:sz w:val="18"/>
        </w:rPr>
        <w:t>Джерело: розрахунки МЕРТ на базі звітних таблиць «витрати-випуск» за 20</w:t>
      </w:r>
      <w:r>
        <w:rPr>
          <w:rFonts w:ascii="Times New Roman" w:hAnsi="Times New Roman" w:cs="Times New Roman"/>
          <w:i/>
          <w:sz w:val="18"/>
        </w:rPr>
        <w:t>13</w:t>
      </w:r>
      <w:r w:rsidRPr="00071F5B">
        <w:rPr>
          <w:rFonts w:ascii="Times New Roman" w:hAnsi="Times New Roman" w:cs="Times New Roman"/>
          <w:i/>
          <w:sz w:val="18"/>
        </w:rPr>
        <w:t xml:space="preserve">-2016рр. у цінах споживачів </w:t>
      </w:r>
    </w:p>
    <w:p w:rsidR="00203402" w:rsidRPr="00B25577" w:rsidRDefault="00203402" w:rsidP="00B25577">
      <w:pPr>
        <w:rPr>
          <w:rFonts w:ascii="Times New Roman" w:hAnsi="Times New Roman" w:cs="Times New Roman"/>
          <w:i/>
          <w:sz w:val="18"/>
        </w:rPr>
      </w:pPr>
    </w:p>
    <w:sectPr w:rsidR="00203402" w:rsidRPr="00B25577" w:rsidSect="007A293D">
      <w:headerReference w:type="default" r:id="rId9"/>
      <w:footerReference w:type="even" r:id="rId10"/>
      <w:headerReference w:type="first" r:id="rId11"/>
      <w:pgSz w:w="11906" w:h="16838"/>
      <w:pgMar w:top="966" w:right="1133" w:bottom="709" w:left="1276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D3" w:rsidRDefault="00D47ED3" w:rsidP="0022462D">
      <w:pPr>
        <w:spacing w:after="0" w:line="240" w:lineRule="auto"/>
      </w:pPr>
      <w:r>
        <w:separator/>
      </w:r>
    </w:p>
  </w:endnote>
  <w:endnote w:type="continuationSeparator" w:id="0">
    <w:p w:rsidR="00D47ED3" w:rsidRDefault="00D47ED3" w:rsidP="0022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D" w:rsidRDefault="004464BD" w:rsidP="001B30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E8A">
      <w:rPr>
        <w:rStyle w:val="a7"/>
        <w:noProof/>
      </w:rPr>
      <w:t>2</w:t>
    </w:r>
    <w:r>
      <w:rPr>
        <w:rStyle w:val="a7"/>
      </w:rPr>
      <w:fldChar w:fldCharType="end"/>
    </w:r>
  </w:p>
  <w:p w:rsidR="004464BD" w:rsidRDefault="004464BD" w:rsidP="001B30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D3" w:rsidRDefault="00D47ED3" w:rsidP="0022462D">
      <w:pPr>
        <w:spacing w:after="0" w:line="240" w:lineRule="auto"/>
      </w:pPr>
      <w:r>
        <w:separator/>
      </w:r>
    </w:p>
  </w:footnote>
  <w:footnote w:type="continuationSeparator" w:id="0">
    <w:p w:rsidR="00D47ED3" w:rsidRDefault="00D47ED3" w:rsidP="0022462D">
      <w:pPr>
        <w:spacing w:after="0" w:line="240" w:lineRule="auto"/>
      </w:pPr>
      <w:r>
        <w:continuationSeparator/>
      </w:r>
    </w:p>
  </w:footnote>
  <w:footnote w:id="1">
    <w:p w:rsidR="004464BD" w:rsidRPr="006D233E" w:rsidRDefault="004464BD" w:rsidP="00BA66D1">
      <w:pPr>
        <w:pStyle w:val="a3"/>
        <w:jc w:val="both"/>
        <w:rPr>
          <w:sz w:val="18"/>
          <w:szCs w:val="18"/>
        </w:rPr>
      </w:pPr>
      <w:r w:rsidRPr="00D00E4D">
        <w:rPr>
          <w:sz w:val="18"/>
          <w:szCs w:val="18"/>
          <w:vertAlign w:val="superscript"/>
        </w:rPr>
        <w:footnoteRef/>
      </w:r>
      <w:r w:rsidRPr="00D00E4D">
        <w:rPr>
          <w:sz w:val="18"/>
          <w:szCs w:val="18"/>
          <w:vertAlign w:val="superscript"/>
        </w:rPr>
        <w:t xml:space="preserve"> </w:t>
      </w:r>
      <w:r w:rsidRPr="00D00E4D">
        <w:rPr>
          <w:sz w:val="18"/>
          <w:szCs w:val="18"/>
          <w:lang w:val="ru-RU"/>
        </w:rPr>
        <w:t xml:space="preserve"> </w:t>
      </w:r>
      <w:r w:rsidRPr="00D00E4D">
        <w:rPr>
          <w:sz w:val="18"/>
          <w:szCs w:val="18"/>
        </w:rPr>
        <w:t>У 2006-2010 роках індекс будівельних робіт.</w:t>
      </w:r>
    </w:p>
  </w:footnote>
  <w:footnote w:id="2">
    <w:p w:rsidR="004464BD" w:rsidRPr="00691435" w:rsidRDefault="004464BD" w:rsidP="00BA66D1">
      <w:pPr>
        <w:pStyle w:val="a3"/>
        <w:jc w:val="both"/>
        <w:rPr>
          <w:sz w:val="18"/>
          <w:szCs w:val="16"/>
        </w:rPr>
      </w:pPr>
      <w:r w:rsidRPr="00691435">
        <w:rPr>
          <w:sz w:val="18"/>
          <w:szCs w:val="16"/>
          <w:vertAlign w:val="superscript"/>
        </w:rPr>
        <w:footnoteRef/>
      </w:r>
      <w:r w:rsidRPr="00691435">
        <w:rPr>
          <w:sz w:val="18"/>
          <w:szCs w:val="16"/>
          <w:vertAlign w:val="superscript"/>
        </w:rPr>
        <w:t xml:space="preserve"> </w:t>
      </w:r>
      <w:r w:rsidRPr="00691435">
        <w:rPr>
          <w:sz w:val="18"/>
          <w:szCs w:val="16"/>
        </w:rPr>
        <w:t>КПБ6, 200</w:t>
      </w:r>
      <w:r>
        <w:rPr>
          <w:sz w:val="18"/>
          <w:szCs w:val="16"/>
        </w:rPr>
        <w:t>6</w:t>
      </w:r>
      <w:r w:rsidRPr="00691435">
        <w:rPr>
          <w:sz w:val="18"/>
          <w:szCs w:val="16"/>
        </w:rPr>
        <w:t>-201</w:t>
      </w:r>
      <w:r>
        <w:rPr>
          <w:sz w:val="18"/>
          <w:szCs w:val="16"/>
        </w:rPr>
        <w:t>3 роки</w:t>
      </w:r>
      <w:r w:rsidRPr="00691435">
        <w:rPr>
          <w:sz w:val="18"/>
          <w:szCs w:val="16"/>
        </w:rPr>
        <w:t xml:space="preserve"> – з урахува</w:t>
      </w:r>
      <w:r>
        <w:rPr>
          <w:sz w:val="18"/>
          <w:szCs w:val="16"/>
        </w:rPr>
        <w:t xml:space="preserve">нням </w:t>
      </w:r>
      <w:r w:rsidRPr="006B0286">
        <w:rPr>
          <w:sz w:val="18"/>
          <w:szCs w:val="16"/>
        </w:rPr>
        <w:t xml:space="preserve">тимчасово окупованої території АР Крим та м. </w:t>
      </w:r>
      <w:r w:rsidRPr="00FC36DB">
        <w:rPr>
          <w:sz w:val="18"/>
          <w:szCs w:val="16"/>
        </w:rPr>
        <w:t>Севастополя.</w:t>
      </w:r>
    </w:p>
  </w:footnote>
  <w:footnote w:id="3">
    <w:p w:rsidR="004464BD" w:rsidRPr="00691435" w:rsidRDefault="004464BD" w:rsidP="00BA66D1">
      <w:pPr>
        <w:pStyle w:val="a3"/>
        <w:jc w:val="both"/>
        <w:rPr>
          <w:sz w:val="18"/>
          <w:szCs w:val="16"/>
        </w:rPr>
      </w:pPr>
      <w:r w:rsidRPr="00691435">
        <w:rPr>
          <w:sz w:val="18"/>
          <w:szCs w:val="16"/>
          <w:vertAlign w:val="superscript"/>
        </w:rPr>
        <w:footnoteRef/>
      </w:r>
      <w:r w:rsidRPr="00691435">
        <w:rPr>
          <w:sz w:val="18"/>
          <w:szCs w:val="16"/>
          <w:vertAlign w:val="superscript"/>
        </w:rPr>
        <w:t xml:space="preserve"> </w:t>
      </w:r>
      <w:r w:rsidRPr="00691435">
        <w:rPr>
          <w:sz w:val="18"/>
          <w:szCs w:val="16"/>
        </w:rPr>
        <w:t>За 200</w:t>
      </w:r>
      <w:r>
        <w:rPr>
          <w:sz w:val="18"/>
          <w:szCs w:val="16"/>
        </w:rPr>
        <w:t>6</w:t>
      </w:r>
      <w:r w:rsidRPr="00691435">
        <w:rPr>
          <w:sz w:val="18"/>
          <w:szCs w:val="16"/>
        </w:rPr>
        <w:t>-2010 роки – дані щодо інвестицій в основний капітал.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1223"/>
      <w:docPartObj>
        <w:docPartGallery w:val="Page Numbers (Top of Page)"/>
        <w:docPartUnique/>
      </w:docPartObj>
    </w:sdtPr>
    <w:sdtEndPr/>
    <w:sdtContent>
      <w:p w:rsidR="00957B86" w:rsidRDefault="00957B86" w:rsidP="00E918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8A" w:rsidRDefault="007E0E8A">
    <w:pPr>
      <w:pStyle w:val="ac"/>
      <w:jc w:val="center"/>
    </w:pPr>
  </w:p>
  <w:p w:rsidR="00957B86" w:rsidRDefault="0095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F54"/>
    <w:multiLevelType w:val="hybridMultilevel"/>
    <w:tmpl w:val="9142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D"/>
    <w:rsid w:val="000372B3"/>
    <w:rsid w:val="000705BF"/>
    <w:rsid w:val="00071F5B"/>
    <w:rsid w:val="00077D9D"/>
    <w:rsid w:val="000903D6"/>
    <w:rsid w:val="00090B15"/>
    <w:rsid w:val="00096A60"/>
    <w:rsid w:val="000C747B"/>
    <w:rsid w:val="001048AD"/>
    <w:rsid w:val="0014517C"/>
    <w:rsid w:val="001703EC"/>
    <w:rsid w:val="001769F4"/>
    <w:rsid w:val="001913A5"/>
    <w:rsid w:val="001A378C"/>
    <w:rsid w:val="001B30D0"/>
    <w:rsid w:val="001D28CE"/>
    <w:rsid w:val="001D3FE3"/>
    <w:rsid w:val="00200C0E"/>
    <w:rsid w:val="00203402"/>
    <w:rsid w:val="0022462D"/>
    <w:rsid w:val="0023778C"/>
    <w:rsid w:val="0025036B"/>
    <w:rsid w:val="00286EC2"/>
    <w:rsid w:val="002B0934"/>
    <w:rsid w:val="002D7708"/>
    <w:rsid w:val="002F22AF"/>
    <w:rsid w:val="00375630"/>
    <w:rsid w:val="00382F70"/>
    <w:rsid w:val="003A1224"/>
    <w:rsid w:val="003A5712"/>
    <w:rsid w:val="003B66DE"/>
    <w:rsid w:val="003C4370"/>
    <w:rsid w:val="00414C7B"/>
    <w:rsid w:val="0041672B"/>
    <w:rsid w:val="00442D67"/>
    <w:rsid w:val="004464BD"/>
    <w:rsid w:val="00454EFE"/>
    <w:rsid w:val="004913C4"/>
    <w:rsid w:val="00495AC7"/>
    <w:rsid w:val="005648F5"/>
    <w:rsid w:val="005901CF"/>
    <w:rsid w:val="005923E5"/>
    <w:rsid w:val="00592DEF"/>
    <w:rsid w:val="005D15BB"/>
    <w:rsid w:val="005D500C"/>
    <w:rsid w:val="005D53C8"/>
    <w:rsid w:val="00601DF3"/>
    <w:rsid w:val="0060764A"/>
    <w:rsid w:val="00627DEB"/>
    <w:rsid w:val="00633FC9"/>
    <w:rsid w:val="0063430A"/>
    <w:rsid w:val="006577BC"/>
    <w:rsid w:val="0066517E"/>
    <w:rsid w:val="006D0E20"/>
    <w:rsid w:val="006D28F3"/>
    <w:rsid w:val="006E69EC"/>
    <w:rsid w:val="00700FA4"/>
    <w:rsid w:val="00702CAC"/>
    <w:rsid w:val="007604D3"/>
    <w:rsid w:val="00792F76"/>
    <w:rsid w:val="007A293D"/>
    <w:rsid w:val="007A53A9"/>
    <w:rsid w:val="007C3A6C"/>
    <w:rsid w:val="007D6840"/>
    <w:rsid w:val="007E0E8A"/>
    <w:rsid w:val="007E5AE1"/>
    <w:rsid w:val="00813F84"/>
    <w:rsid w:val="00822AE8"/>
    <w:rsid w:val="008438B8"/>
    <w:rsid w:val="00870940"/>
    <w:rsid w:val="008F4826"/>
    <w:rsid w:val="00915478"/>
    <w:rsid w:val="00925E79"/>
    <w:rsid w:val="00957B86"/>
    <w:rsid w:val="009674C5"/>
    <w:rsid w:val="00985A4B"/>
    <w:rsid w:val="009B2669"/>
    <w:rsid w:val="009E7C0A"/>
    <w:rsid w:val="00A729FF"/>
    <w:rsid w:val="00A778BE"/>
    <w:rsid w:val="00AF78E6"/>
    <w:rsid w:val="00B074B7"/>
    <w:rsid w:val="00B22858"/>
    <w:rsid w:val="00B25577"/>
    <w:rsid w:val="00B70807"/>
    <w:rsid w:val="00B848E3"/>
    <w:rsid w:val="00B96FE0"/>
    <w:rsid w:val="00BA66D1"/>
    <w:rsid w:val="00C01622"/>
    <w:rsid w:val="00C02AAA"/>
    <w:rsid w:val="00C21BE2"/>
    <w:rsid w:val="00CB0694"/>
    <w:rsid w:val="00CB385E"/>
    <w:rsid w:val="00CC5C56"/>
    <w:rsid w:val="00CD5692"/>
    <w:rsid w:val="00CF2BDE"/>
    <w:rsid w:val="00D47ED3"/>
    <w:rsid w:val="00D71023"/>
    <w:rsid w:val="00D750FA"/>
    <w:rsid w:val="00DB0D22"/>
    <w:rsid w:val="00DD2B62"/>
    <w:rsid w:val="00DD43DA"/>
    <w:rsid w:val="00DD5C1F"/>
    <w:rsid w:val="00DF45B4"/>
    <w:rsid w:val="00E15263"/>
    <w:rsid w:val="00E16412"/>
    <w:rsid w:val="00E52405"/>
    <w:rsid w:val="00E54319"/>
    <w:rsid w:val="00E91814"/>
    <w:rsid w:val="00EA44FD"/>
    <w:rsid w:val="00EA5C0B"/>
    <w:rsid w:val="00EC1051"/>
    <w:rsid w:val="00F42028"/>
    <w:rsid w:val="00F818FD"/>
    <w:rsid w:val="00F96D2C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1A294-0344-4BA2-882E-CE226BA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Oaeno niinee Ciae,Podrozdział,Fußnote,Footnote Text_1,Знак12,Fu?note,Podrozdział Знак,Footnote Знак,Fußnote Знак,WB-Fußnotentext Знак,WB-Fußnotentext Char Char Знак,Текст сноски-FN Знак,Текст сноски Знак,З,Зна,Знак Знак"/>
    <w:basedOn w:val="a"/>
    <w:link w:val="1"/>
    <w:semiHidden/>
    <w:rsid w:val="00224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Table_Footnote_last Знак,Oaeno niinee Ciae Знак,Podrozdział Знак1,Fußnote Знак1,Footnote Text_1 Знак,Знак12 Знак,Fu?note Знак,Podrozdział Знак Знак,Footnote Знак Знак,Fußnote Знак Знак,WB-Fußnotentext Знак Знак,Текст сноски Знак Знак"/>
    <w:basedOn w:val="a0"/>
    <w:link w:val="a3"/>
    <w:semiHidden/>
    <w:rsid w:val="00224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aliases w:val="Footnote Reference Number,Footnote symbol,Footnote,Footnote Reference Superscript,BVI fnr,Footnote symboFußnotenzeichen,Footnote sign,EN Footnote Reference,Times 10 Point,Exposant 3 Point,Footnote reference number,note TESI,fr,o,Style 6,Not"/>
    <w:semiHidden/>
    <w:rsid w:val="0022462D"/>
    <w:rPr>
      <w:rFonts w:cs="Times New Roman"/>
      <w:vertAlign w:val="superscript"/>
    </w:rPr>
  </w:style>
  <w:style w:type="paragraph" w:styleId="a5">
    <w:name w:val="footer"/>
    <w:basedOn w:val="a"/>
    <w:link w:val="a6"/>
    <w:uiPriority w:val="99"/>
    <w:rsid w:val="0022462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246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2462D"/>
  </w:style>
  <w:style w:type="table" w:styleId="a8">
    <w:name w:val="Table Grid"/>
    <w:basedOn w:val="a1"/>
    <w:uiPriority w:val="39"/>
    <w:rsid w:val="00CC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1A378C"/>
    <w:pPr>
      <w:ind w:left="720"/>
      <w:contextualSpacing/>
    </w:pPr>
  </w:style>
  <w:style w:type="character" w:customStyle="1" w:styleId="st">
    <w:name w:val="st"/>
    <w:basedOn w:val="a0"/>
    <w:rsid w:val="000903D6"/>
  </w:style>
  <w:style w:type="character" w:styleId="ab">
    <w:name w:val="Emphasis"/>
    <w:basedOn w:val="a0"/>
    <w:uiPriority w:val="20"/>
    <w:qFormat/>
    <w:rsid w:val="000903D6"/>
    <w:rPr>
      <w:i/>
      <w:iCs/>
    </w:rPr>
  </w:style>
  <w:style w:type="paragraph" w:styleId="ac">
    <w:name w:val="header"/>
    <w:basedOn w:val="a"/>
    <w:link w:val="ad"/>
    <w:uiPriority w:val="99"/>
    <w:unhideWhenUsed/>
    <w:rsid w:val="00E152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5263"/>
  </w:style>
  <w:style w:type="paragraph" w:styleId="ae">
    <w:name w:val="Balloon Text"/>
    <w:basedOn w:val="a"/>
    <w:link w:val="af"/>
    <w:uiPriority w:val="99"/>
    <w:semiHidden/>
    <w:unhideWhenUsed/>
    <w:rsid w:val="009B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08235154816177E-2"/>
          <c:y val="5.7060367454068242E-2"/>
          <c:w val="0.88252284253941937"/>
          <c:h val="0.67393627879848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'[ВВП граф.xlsx]Аркуш1'!$B$2</c:f>
              <c:strCache>
                <c:ptCount val="1"/>
                <c:pt idx="0">
                  <c:v>ВВП (у % до попереднього року)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6758138441200578E-17"/>
                  <c:y val="0.10826210826210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18-4080-81DE-EC136DC97E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'[ВВП граф.xlsx]Аркуш1'!$A$4:$A$13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'[ВВП граф.xlsx]Аркуш1'!$B$4:$B$13</c:f>
              <c:numCache>
                <c:formatCode>General</c:formatCode>
                <c:ptCount val="10"/>
                <c:pt idx="0">
                  <c:v>102.3</c:v>
                </c:pt>
                <c:pt idx="1">
                  <c:v>85.2</c:v>
                </c:pt>
                <c:pt idx="2">
                  <c:v>104.1</c:v>
                </c:pt>
                <c:pt idx="3">
                  <c:v>105.5</c:v>
                </c:pt>
                <c:pt idx="4">
                  <c:v>100.2</c:v>
                </c:pt>
                <c:pt idx="5">
                  <c:v>100</c:v>
                </c:pt>
                <c:pt idx="6">
                  <c:v>93.4</c:v>
                </c:pt>
                <c:pt idx="7">
                  <c:v>90.2</c:v>
                </c:pt>
                <c:pt idx="8">
                  <c:v>102.4</c:v>
                </c:pt>
                <c:pt idx="9">
                  <c:v>102.5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8-4080-81DE-EC136DC97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32824"/>
        <c:axId val="335930856"/>
      </c:barChart>
      <c:lineChart>
        <c:grouping val="standard"/>
        <c:varyColors val="0"/>
        <c:ser>
          <c:idx val="1"/>
          <c:order val="1"/>
          <c:tx>
            <c:strRef>
              <c:f>'[ВВП граф.xlsx]Аркуш1'!$E$2</c:f>
              <c:strCache>
                <c:ptCount val="1"/>
                <c:pt idx="0">
                  <c:v>ВВП (2007 рік =100%)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'[ВВП граф.xlsx]Аркуш1'!$A$4:$A$13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'[ВВП граф.xlsx]Аркуш1'!$E$4:$E$13</c:f>
              <c:numCache>
                <c:formatCode>0.0</c:formatCode>
                <c:ptCount val="10"/>
                <c:pt idx="0">
                  <c:v>102.3</c:v>
                </c:pt>
                <c:pt idx="1">
                  <c:v>87.159600000000012</c:v>
                </c:pt>
                <c:pt idx="2">
                  <c:v>90.733143600000005</c:v>
                </c:pt>
                <c:pt idx="3">
                  <c:v>95.723466497999993</c:v>
                </c:pt>
                <c:pt idx="4">
                  <c:v>95.914913430996009</c:v>
                </c:pt>
                <c:pt idx="5">
                  <c:v>95.914913430996009</c:v>
                </c:pt>
                <c:pt idx="6">
                  <c:v>89.584529144550274</c:v>
                </c:pt>
                <c:pt idx="7">
                  <c:v>80.805245288384356</c:v>
                </c:pt>
                <c:pt idx="8">
                  <c:v>82.744571175305595</c:v>
                </c:pt>
                <c:pt idx="9">
                  <c:v>84.813185454688224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18-4080-81DE-EC136DC97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932824"/>
        <c:axId val="335930856"/>
      </c:lineChart>
      <c:catAx>
        <c:axId val="33593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5930856"/>
        <c:crosses val="autoZero"/>
        <c:auto val="1"/>
        <c:lblAlgn val="ctr"/>
        <c:lblOffset val="100"/>
        <c:noMultiLvlLbl val="0"/>
      </c:catAx>
      <c:valAx>
        <c:axId val="335930856"/>
        <c:scaling>
          <c:orientation val="minMax"/>
          <c:min val="8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593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08767982949502"/>
          <c:y val="0.87486012966327931"/>
          <c:w val="0.66276142022531548"/>
          <c:h val="9.0400879377257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uk-UA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C0D8-1BF7-419E-82E9-D0B9BC84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9384</Words>
  <Characters>5350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 Денис Анатолійович</dc:creator>
  <cp:keywords/>
  <dc:description/>
  <cp:lastModifiedBy>Ярошенко Сабіна Віталіївна</cp:lastModifiedBy>
  <cp:revision>8</cp:revision>
  <dcterms:created xsi:type="dcterms:W3CDTF">2018-03-30T13:46:00Z</dcterms:created>
  <dcterms:modified xsi:type="dcterms:W3CDTF">2018-05-14T14:42:00Z</dcterms:modified>
</cp:coreProperties>
</file>