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FD" w:rsidRDefault="00990DFD" w:rsidP="008E23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842D5" w:rsidRDefault="004842D5" w:rsidP="008E23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42D5">
        <w:rPr>
          <w:rFonts w:ascii="Times New Roman" w:hAnsi="Times New Roman" w:cs="Times New Roman"/>
          <w:b/>
          <w:sz w:val="28"/>
          <w:szCs w:val="28"/>
          <w:lang w:eastAsia="en-US"/>
        </w:rPr>
        <w:t>АНАЛІЗ РЕГУЛЯТОРНОГО ВПЛИВУ</w:t>
      </w:r>
    </w:p>
    <w:p w:rsidR="00F30795" w:rsidRPr="00F30795" w:rsidRDefault="00833904" w:rsidP="00F30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до </w:t>
      </w:r>
      <w:r w:rsidR="00F30795"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проекту постанови Кабінету Міністрів України </w:t>
      </w:r>
      <w:r w:rsidR="003E4D27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="00F30795"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>“Про Особливості створення та діяльності централізованих закупівельних організацій”</w:t>
      </w:r>
    </w:p>
    <w:p w:rsidR="00F30795" w:rsidRDefault="00F30795" w:rsidP="00E97D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33904" w:rsidRDefault="00833904" w:rsidP="00957C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33904">
        <w:rPr>
          <w:rFonts w:ascii="Times New Roman" w:hAnsi="Times New Roman" w:cs="Times New Roman"/>
          <w:b/>
          <w:sz w:val="28"/>
          <w:szCs w:val="28"/>
          <w:lang w:eastAsia="en-US"/>
        </w:rPr>
        <w:t>I. Визначення проблеми</w:t>
      </w:r>
    </w:p>
    <w:p w:rsidR="00833904" w:rsidRPr="00F30795" w:rsidRDefault="00833904" w:rsidP="00957C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30795" w:rsidRPr="00F30795" w:rsidRDefault="00F30795" w:rsidP="00F307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sz w:val="28"/>
          <w:szCs w:val="28"/>
          <w:lang w:eastAsia="en-US"/>
        </w:rPr>
        <w:t>Проект акта розроблений на виконання вимог пункту 36 частини першої статті 1 Закону України “Про публічні закупівлі” (далі – Закон) та пункту 69 Плану пріоритетних дій Уряду на 2018 рік, затвердженого розпорядженням Кабінету Міністрів України від 28 березня 2018 р. № 244-р.</w:t>
      </w:r>
    </w:p>
    <w:p w:rsidR="00F30795" w:rsidRPr="00F30795" w:rsidRDefault="00F30795" w:rsidP="007627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sz w:val="28"/>
          <w:szCs w:val="28"/>
          <w:lang w:eastAsia="en-US"/>
        </w:rPr>
        <w:t xml:space="preserve">Законом визначено право замовників на здійснення публічних закупівель шляхом передачі їх для організації та проведення до </w:t>
      </w:r>
      <w:r w:rsidR="007627D5">
        <w:rPr>
          <w:rFonts w:ascii="Times New Roman" w:hAnsi="Times New Roman" w:cs="Times New Roman"/>
          <w:sz w:val="28"/>
          <w:szCs w:val="28"/>
          <w:lang w:eastAsia="en-US"/>
        </w:rPr>
        <w:t xml:space="preserve">централізованих закупівельних організацій (далі – </w:t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ЦЗО</w:t>
      </w:r>
      <w:r w:rsidR="007627D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. На практиці наразі це реалізувати неможливо, оскільки згідно із вимогами Закону, особливості створення</w:t>
      </w:r>
      <w:r w:rsidR="00E97D2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та діяльності таких організацій встановлюються Кабінетом Міністрів України.</w:t>
      </w:r>
    </w:p>
    <w:p w:rsidR="00F30795" w:rsidRPr="00F30795" w:rsidRDefault="00F30795" w:rsidP="00F307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sz w:val="28"/>
          <w:szCs w:val="28"/>
          <w:lang w:eastAsia="en-US"/>
        </w:rPr>
        <w:t>Відповідно врегулювати питання створення та діяльності ЦЗО можливо лише шляхом прийняття даного проекту акта.</w:t>
      </w:r>
    </w:p>
    <w:p w:rsidR="00F30795" w:rsidRPr="00F30795" w:rsidRDefault="00F30795" w:rsidP="00F307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sz w:val="28"/>
          <w:szCs w:val="28"/>
          <w:lang w:eastAsia="en-US"/>
        </w:rPr>
        <w:t>Крім того, прийняття даного проекту акта сприятиме виконанню завдань Стратегії реформування системи публічних закупівель (“дорожньої карти”), затвердженої постановою Кабінету Міністрів України від 24 лютого 2016 р. № 175-р, зокрема прийняття розпорядження Кабінету Міністрів України</w:t>
      </w:r>
      <w:r w:rsidR="00E97D2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про утворення централізованої закупівельної організації (пункт 7).</w:t>
      </w:r>
    </w:p>
    <w:p w:rsidR="00F30795" w:rsidRPr="00F30795" w:rsidRDefault="00F30795" w:rsidP="00F3079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sz w:val="28"/>
          <w:szCs w:val="28"/>
          <w:lang w:eastAsia="en-US"/>
        </w:rPr>
        <w:t>Даним проектом акта затверджуються Особливості створення та діяльності ЦЗО (далі – Особливості)</w:t>
      </w:r>
      <w:r w:rsidR="0062438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В Особливостях пропонується регламентувати механізм визначення Кабінетом Міністрів України,</w:t>
      </w:r>
      <w:r w:rsidR="00E97D2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Радою міністрів Автономної Республіки Крим та органами місцевого самоврядування (далі – орган) новостворених та/або існуючих юридичних осіб як ЦЗО.</w:t>
      </w:r>
    </w:p>
    <w:p w:rsidR="00F30795" w:rsidRPr="00F30795" w:rsidRDefault="00F30795" w:rsidP="00F307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sz w:val="28"/>
          <w:szCs w:val="28"/>
          <w:lang w:eastAsia="en-US"/>
        </w:rPr>
        <w:t>Також пропонується, що проект рішення Кабінету Міністрів України</w:t>
      </w:r>
      <w:r w:rsidR="00E97D2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 xml:space="preserve">про визначення ЦЗО готується та подається на розгляд в установленому </w:t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законодавством порядку Кабінету Міністрів України Уповноваженим органом (Мінекономрозвитку) за власною ініціативою та/або на підставі отриманих</w:t>
      </w:r>
      <w:r w:rsidR="00E97D2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від міністерств України і центральних органів виконавчої влади зі спеціальним статусом звернень з пропозиціями про визначення ЦЗО, які мають містити обов’язкову інформацію, визначену пунктом 7 Особливостей. Таке звернення Уповноваженим органом розглядається протягом 30 робочих днів та може бути повернуте за підстав, визначених у пункті 9 Особливостей. Водночас ініціатор звернення може звернутися повторно.</w:t>
      </w:r>
    </w:p>
    <w:p w:rsidR="00F30795" w:rsidRPr="00F30795" w:rsidRDefault="00F30795" w:rsidP="00F307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sz w:val="28"/>
          <w:szCs w:val="28"/>
          <w:lang w:eastAsia="en-US"/>
        </w:rPr>
        <w:t xml:space="preserve">Поряд з цим передбачається, що орган у своєму рішенні може визначити перелік замовників (які знаходяться у його підпорядкуванні), в інтересах яких, проведення тендерів (торгів) та закупівлі за рамковими угодами </w:t>
      </w:r>
      <w:r w:rsidR="00E97D2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ЦЗО є обов’язковим та/або перелік товарів, закупівля яких</w:t>
      </w:r>
      <w:r w:rsidR="00E97D2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через ЦЗО є обов’язковою. Відповідно перелік таких замовників та</w:t>
      </w:r>
      <w:r w:rsidR="00E97D2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перелік товарів визначається органом у даному рішенні. Крім того,</w:t>
      </w:r>
      <w:r w:rsidR="00E97D2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у разі прийняття такого рішення орган забезпечує фінансування діяльності такого ЦЗО за рахунок коштів державного бюджету, коштів відповідного місцевого (місцевих) бюджетів або інших коштів.</w:t>
      </w:r>
    </w:p>
    <w:p w:rsidR="00F30795" w:rsidRPr="00F30795" w:rsidRDefault="00F30795" w:rsidP="00E20EB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sz w:val="28"/>
          <w:szCs w:val="28"/>
          <w:lang w:eastAsia="en-US"/>
        </w:rPr>
        <w:t xml:space="preserve">Водночас, якщо закупівля через ЦЗО не є обов’язковою, то </w:t>
      </w:r>
      <w:r w:rsidR="004D3F1D">
        <w:rPr>
          <w:rFonts w:ascii="Times New Roman" w:hAnsi="Times New Roman" w:cs="Times New Roman"/>
          <w:sz w:val="28"/>
          <w:szCs w:val="28"/>
          <w:lang w:eastAsia="en-US"/>
        </w:rPr>
        <w:t>винагорода</w:t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 xml:space="preserve"> за організацію та проведення закупівель здійснюється замовником у диференційованому розмірі в залежності від відсотку від ціни укладеного договору.</w:t>
      </w:r>
    </w:p>
    <w:p w:rsidR="00F30795" w:rsidRPr="00F30795" w:rsidRDefault="00F30795" w:rsidP="00E20EB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sz w:val="28"/>
          <w:szCs w:val="28"/>
          <w:lang w:eastAsia="en-US"/>
        </w:rPr>
        <w:t xml:space="preserve">Разом з цим Особливостями встановлюються вимоги до ЦЗО, визначаються їх </w:t>
      </w:r>
      <w:r w:rsidR="00FA6058">
        <w:rPr>
          <w:rFonts w:ascii="Times New Roman" w:hAnsi="Times New Roman" w:cs="Times New Roman"/>
          <w:sz w:val="28"/>
          <w:szCs w:val="28"/>
          <w:lang w:eastAsia="en-US"/>
        </w:rPr>
        <w:t>функції</w:t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, а також умови їх діяльності та взаємодії з іншими замовниками.</w:t>
      </w:r>
    </w:p>
    <w:p w:rsidR="00F30795" w:rsidRPr="00F30795" w:rsidRDefault="00F30795" w:rsidP="00E20EB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sz w:val="28"/>
          <w:szCs w:val="28"/>
          <w:lang w:eastAsia="en-US"/>
        </w:rPr>
        <w:t>Також регламентується, що ЦЗО під час організації та проведення тендерів (торгів) та закупівлі за рамковими угодами в інтересах замовників несуть відповідальність згідно із Законом за їх рішення, дії чи бездіяльність.</w:t>
      </w:r>
    </w:p>
    <w:p w:rsidR="00F30795" w:rsidRDefault="00F30795" w:rsidP="00DF4A7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sz w:val="28"/>
          <w:szCs w:val="28"/>
          <w:lang w:eastAsia="en-US"/>
        </w:rPr>
        <w:t>Прийняття акта забезпечить реформування інституційної структуру системи публічних закупівель у відповідності до законодавства ЄС в частині формування та імплементація нових організаційно-правових та</w:t>
      </w:r>
      <w:r w:rsidR="00694959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фінансово-економічних механізмів, спрямованих на підвищення ефективності, професійності та розумної централізації процесу публічних закупівель, шляхом встановлення механізму визначення централізованих закупівельних організацій та умов їх діяльності.</w:t>
      </w:r>
    </w:p>
    <w:p w:rsidR="00694959" w:rsidRDefault="00694959" w:rsidP="0069495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33904" w:rsidRPr="00833904" w:rsidRDefault="00833904" w:rsidP="00833904">
      <w:pPr>
        <w:shd w:val="clear" w:color="auto" w:fill="FFFFFF"/>
        <w:spacing w:after="0" w:line="360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групи (підгрупи), на які проблема справляє вплив:</w:t>
      </w:r>
    </w:p>
    <w:p w:rsidR="00833904" w:rsidRPr="00833904" w:rsidRDefault="00833904" w:rsidP="008E230D">
      <w:pPr>
        <w:shd w:val="clear" w:color="auto" w:fill="FFFFFF"/>
        <w:spacing w:after="0" w:line="240" w:lineRule="auto"/>
        <w:ind w:right="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2738"/>
        <w:gridCol w:w="2360"/>
      </w:tblGrid>
      <w:tr w:rsidR="00833904" w:rsidRPr="00833904" w:rsidTr="00957CEC">
        <w:tc>
          <w:tcPr>
            <w:tcW w:w="2272" w:type="pct"/>
          </w:tcPr>
          <w:p w:rsidR="00833904" w:rsidRPr="00833904" w:rsidRDefault="00833904" w:rsidP="008339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1"/>
            <w:bookmarkEnd w:id="0"/>
            <w:r w:rsidRPr="0083390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(підгрупи)</w:t>
            </w:r>
          </w:p>
        </w:tc>
        <w:tc>
          <w:tcPr>
            <w:tcW w:w="1465" w:type="pct"/>
          </w:tcPr>
          <w:p w:rsidR="00833904" w:rsidRPr="00833904" w:rsidRDefault="00833904" w:rsidP="008339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04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63" w:type="pct"/>
          </w:tcPr>
          <w:p w:rsidR="00833904" w:rsidRPr="00833904" w:rsidRDefault="00833904" w:rsidP="008339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04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833904" w:rsidRPr="00833904" w:rsidTr="00957CEC">
        <w:tc>
          <w:tcPr>
            <w:tcW w:w="2272" w:type="pct"/>
          </w:tcPr>
          <w:p w:rsidR="00833904" w:rsidRPr="00833904" w:rsidRDefault="00833904" w:rsidP="0083390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0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1465" w:type="pct"/>
          </w:tcPr>
          <w:p w:rsidR="00833904" w:rsidRPr="00833904" w:rsidRDefault="00833904" w:rsidP="008339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</w:tcPr>
          <w:p w:rsidR="00833904" w:rsidRPr="00833904" w:rsidRDefault="00833904" w:rsidP="008339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0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3904" w:rsidRPr="00833904" w:rsidTr="00957CEC">
        <w:tc>
          <w:tcPr>
            <w:tcW w:w="2272" w:type="pct"/>
          </w:tcPr>
          <w:p w:rsidR="00833904" w:rsidRPr="00833904" w:rsidRDefault="00833904" w:rsidP="0083390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0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1465" w:type="pct"/>
          </w:tcPr>
          <w:p w:rsidR="00833904" w:rsidRPr="00833904" w:rsidRDefault="00833904" w:rsidP="008339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04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1263" w:type="pct"/>
          </w:tcPr>
          <w:p w:rsidR="00833904" w:rsidRPr="00833904" w:rsidRDefault="00833904" w:rsidP="008339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904" w:rsidRPr="00833904" w:rsidTr="00957CEC">
        <w:tc>
          <w:tcPr>
            <w:tcW w:w="2272" w:type="pct"/>
          </w:tcPr>
          <w:p w:rsidR="00833904" w:rsidRPr="00833904" w:rsidRDefault="00833904" w:rsidP="0083390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04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1465" w:type="pct"/>
          </w:tcPr>
          <w:p w:rsidR="00833904" w:rsidRPr="00833904" w:rsidRDefault="00833904" w:rsidP="008339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04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  <w:r w:rsidR="0007407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3" w:type="pct"/>
          </w:tcPr>
          <w:p w:rsidR="00833904" w:rsidRPr="00833904" w:rsidRDefault="00833904" w:rsidP="008339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904" w:rsidRPr="00833904" w:rsidTr="00957CEC">
        <w:tc>
          <w:tcPr>
            <w:tcW w:w="2272" w:type="pct"/>
          </w:tcPr>
          <w:p w:rsidR="00833904" w:rsidRPr="00833904" w:rsidRDefault="00833904" w:rsidP="0083390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04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суб’єкти малого підприємництва</w:t>
            </w:r>
          </w:p>
        </w:tc>
        <w:tc>
          <w:tcPr>
            <w:tcW w:w="1465" w:type="pct"/>
          </w:tcPr>
          <w:p w:rsidR="00833904" w:rsidRPr="00833904" w:rsidRDefault="00833904" w:rsidP="008339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</w:tcPr>
          <w:p w:rsidR="00833904" w:rsidRPr="00833904" w:rsidRDefault="00833904" w:rsidP="008339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0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33904" w:rsidRPr="00833904" w:rsidRDefault="00833904" w:rsidP="008E230D">
      <w:pPr>
        <w:shd w:val="clear" w:color="auto" w:fill="FFFFFF"/>
        <w:spacing w:after="0" w:line="240" w:lineRule="auto"/>
        <w:ind w:right="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75" w:rsidRDefault="00833904" w:rsidP="00833904">
      <w:pPr>
        <w:shd w:val="clear" w:color="auto" w:fill="FFFFFF"/>
        <w:spacing w:after="0" w:line="336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04">
        <w:rPr>
          <w:rFonts w:ascii="Times New Roman" w:eastAsia="Times New Roman" w:hAnsi="Times New Roman" w:cs="Times New Roman"/>
          <w:sz w:val="28"/>
          <w:szCs w:val="28"/>
          <w:lang w:eastAsia="ru-RU"/>
        </w:rPr>
        <w:t>*Під державою слід розуміти замовників у сфері публічних закупівель відповідно до пункту 9 частини першої статті 1 Закону</w:t>
      </w:r>
      <w:r w:rsidR="00074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2E1" w:rsidRDefault="00074075" w:rsidP="00833904">
      <w:pPr>
        <w:shd w:val="clear" w:color="auto" w:fill="FFFFFF"/>
        <w:spacing w:after="0" w:line="336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**П</w:t>
      </w:r>
      <w:r w:rsidR="00833904" w:rsidRPr="0083390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суб’єктами господарювання слід розуміти</w:t>
      </w:r>
      <w:r w:rsidR="00A73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075" w:rsidRDefault="00A732E1" w:rsidP="00833904">
      <w:pPr>
        <w:shd w:val="clear" w:color="auto" w:fill="FFFFFF"/>
        <w:spacing w:after="0" w:line="336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юридичні особи, у вищому органі управляння яких більшістю голосів володіють </w:t>
      </w:r>
      <w:r w:rsidRPr="00A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 державної влади або інші розпорядники коштів державного бюджету, органи влади Автономної Республіки Крим або інші розпорядники бюджету Автономної Республіки Крим, виконавчі органи місцевого самоврядування або інші розпор</w:t>
      </w:r>
      <w:r w:rsidR="00DA1AB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ядники коштів місцевого бюджету</w:t>
      </w:r>
      <w:r w:rsidRPr="00A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A1AB4" w:rsidRPr="00A732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 особи</w:t>
      </w:r>
      <w:r w:rsidR="00DA1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1AB4" w:rsidRPr="00A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статутному капіталі </w:t>
      </w:r>
      <w:r w:rsidR="00D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яких </w:t>
      </w:r>
      <w:r w:rsidRPr="00A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частка акцій (часток), частка акцій (часток) у власності органів влади Автономної Республіки Крим, частка акцій (паїв) у власності місцевого самоврядування перевищує 50 відсотків;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 </w:t>
      </w:r>
      <w:r w:rsidR="00A85B3A" w:rsidRPr="00A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юридична особа провадить діяльність в окремих сферах господарювання, визначених пунктом 4 статті 1 Закону, за умови, що органам державної влади, органам влади Автономної Республіки Крим, органам місцевого самоврядування належить частка у статутному капіталі суб’єкта господарювання в розмірі більше ніж 50 відсотків або такі органи володіють більшістю голосів у вищому органі суб’єкта господарювання чи правом </w:t>
      </w:r>
      <w:r w:rsidR="00A85B3A" w:rsidRPr="00A85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призначати більше половини складу виконавчого органу або наглядової ради суб’єкта господарювання або у юридичної особи наявні спеціальні або ексклюзивні права та здійснення публічних закупівель за допомогою ЦЗО для них є обов’язковим згідно із рішенням відповідного органу, який приймає рішення про визначення ЦЗО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3904" w:rsidRPr="00833904" w:rsidRDefault="00A732E1" w:rsidP="00833904">
      <w:pPr>
        <w:shd w:val="clear" w:color="auto" w:fill="FFFFFF"/>
        <w:spacing w:after="0" w:line="336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33904" w:rsidRPr="00833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процедури закупівель відповідно до пункту 35 частини першої статті 1 Закону.</w:t>
      </w:r>
    </w:p>
    <w:p w:rsidR="00214FB9" w:rsidRDefault="00214FB9" w:rsidP="00214F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FB9">
        <w:rPr>
          <w:rFonts w:ascii="Times New Roman" w:hAnsi="Times New Roman" w:cs="Times New Roman"/>
          <w:sz w:val="28"/>
          <w:szCs w:val="28"/>
          <w:lang w:eastAsia="en-US"/>
        </w:rPr>
        <w:t xml:space="preserve">Неможливість розв’язання зазначеної проблеми за допомогою ринкових механізмів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 </w:t>
      </w:r>
      <w:r w:rsidRPr="00214FB9">
        <w:rPr>
          <w:rFonts w:ascii="Times New Roman" w:hAnsi="Times New Roman" w:cs="Times New Roman"/>
          <w:sz w:val="28"/>
          <w:szCs w:val="28"/>
          <w:lang w:eastAsia="en-US"/>
        </w:rPr>
        <w:t xml:space="preserve">діючих регуляторних актів обумовлено тим, що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здійснення замовниками публічних закупівель за допомогою </w:t>
      </w:r>
      <w:r w:rsidR="001265D6">
        <w:rPr>
          <w:rFonts w:ascii="Times New Roman" w:hAnsi="Times New Roman" w:cs="Times New Roman"/>
          <w:sz w:val="28"/>
          <w:szCs w:val="28"/>
          <w:lang w:eastAsia="en-US"/>
        </w:rPr>
        <w:t>ЦЗО</w:t>
      </w:r>
      <w:r w:rsidRPr="00214FB9">
        <w:rPr>
          <w:rFonts w:ascii="Times New Roman" w:hAnsi="Times New Roman" w:cs="Times New Roman"/>
          <w:sz w:val="28"/>
          <w:szCs w:val="28"/>
          <w:lang w:eastAsia="en-US"/>
        </w:rPr>
        <w:t xml:space="preserve"> має бути створена відповідна правова основа і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це </w:t>
      </w:r>
      <w:r w:rsidRPr="00214FB9">
        <w:rPr>
          <w:rFonts w:ascii="Times New Roman" w:hAnsi="Times New Roman" w:cs="Times New Roman"/>
          <w:sz w:val="28"/>
          <w:szCs w:val="28"/>
          <w:lang w:eastAsia="en-US"/>
        </w:rPr>
        <w:t>потребує державного регулювання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так як </w:t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 xml:space="preserve"> 36 частини першої статті</w:t>
      </w:r>
      <w:r>
        <w:rPr>
          <w:rFonts w:ascii="Times New Roman" w:hAnsi="Times New Roman" w:cs="Times New Roman"/>
          <w:sz w:val="28"/>
          <w:szCs w:val="28"/>
          <w:lang w:eastAsia="en-US"/>
        </w:rPr>
        <w:t>  </w:t>
      </w:r>
      <w:r w:rsidRPr="00F30795">
        <w:rPr>
          <w:rFonts w:ascii="Times New Roman" w:hAnsi="Times New Roman" w:cs="Times New Roman"/>
          <w:sz w:val="28"/>
          <w:szCs w:val="28"/>
          <w:lang w:eastAsia="en-US"/>
        </w:rPr>
        <w:t>1 Закону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регламентується, що </w:t>
      </w:r>
      <w:r w:rsidRPr="00214FB9">
        <w:rPr>
          <w:rFonts w:ascii="Times New Roman" w:hAnsi="Times New Roman" w:cs="Times New Roman"/>
          <w:sz w:val="28"/>
          <w:szCs w:val="28"/>
          <w:lang w:eastAsia="en-US"/>
        </w:rPr>
        <w:t xml:space="preserve">особливості створення та діяльності </w:t>
      </w:r>
      <w:r w:rsidR="001265D6">
        <w:rPr>
          <w:rFonts w:ascii="Times New Roman" w:hAnsi="Times New Roman" w:cs="Times New Roman"/>
          <w:sz w:val="28"/>
          <w:szCs w:val="28"/>
          <w:lang w:eastAsia="en-US"/>
        </w:rPr>
        <w:t>ЦЗО</w:t>
      </w:r>
      <w:r w:rsidRPr="00214FB9">
        <w:rPr>
          <w:rFonts w:ascii="Times New Roman" w:hAnsi="Times New Roman" w:cs="Times New Roman"/>
          <w:sz w:val="28"/>
          <w:szCs w:val="28"/>
          <w:lang w:eastAsia="en-US"/>
        </w:rPr>
        <w:t xml:space="preserve"> встановлюються Кабінетом Міністрів України</w:t>
      </w:r>
      <w:r w:rsidR="00DF4A7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F4A7F" w:rsidRDefault="00DF4A7F" w:rsidP="00DF4A7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FAB">
        <w:rPr>
          <w:rFonts w:ascii="Times New Roman" w:hAnsi="Times New Roman"/>
          <w:color w:val="000000"/>
          <w:sz w:val="28"/>
          <w:szCs w:val="28"/>
        </w:rPr>
        <w:t xml:space="preserve">Таким чином, </w:t>
      </w:r>
      <w:r w:rsidRPr="00200FAB">
        <w:rPr>
          <w:rFonts w:ascii="Times New Roman" w:hAnsi="Times New Roman"/>
          <w:sz w:val="28"/>
          <w:szCs w:val="28"/>
        </w:rPr>
        <w:t xml:space="preserve">визнано необхідним </w:t>
      </w:r>
      <w:r>
        <w:rPr>
          <w:rFonts w:ascii="Times New Roman" w:hAnsi="Times New Roman"/>
          <w:sz w:val="28"/>
          <w:szCs w:val="28"/>
        </w:rPr>
        <w:t>розробити проект постанови.</w:t>
      </w:r>
    </w:p>
    <w:p w:rsidR="00DF4A7F" w:rsidRDefault="00DF4A7F" w:rsidP="00957C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BBD" w:rsidRPr="00694BBD" w:rsidRDefault="00694BBD" w:rsidP="00957CEC">
      <w:pPr>
        <w:widowControl w:val="0"/>
        <w:shd w:val="clear" w:color="auto" w:fill="FFFFFF"/>
        <w:spacing w:after="0" w:line="240" w:lineRule="auto"/>
        <w:ind w:left="450" w:right="45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94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II. Цілі державного регулювання</w:t>
      </w:r>
    </w:p>
    <w:p w:rsidR="00694BBD" w:rsidRPr="00694BBD" w:rsidRDefault="00694BBD" w:rsidP="00957CEC">
      <w:pPr>
        <w:widowControl w:val="0"/>
        <w:shd w:val="clear" w:color="auto" w:fill="FFFFFF"/>
        <w:spacing w:after="0" w:line="240" w:lineRule="auto"/>
        <w:ind w:left="450" w:right="4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BBD" w:rsidRDefault="00694BBD" w:rsidP="009C1978">
      <w:pPr>
        <w:widowControl w:val="0"/>
        <w:tabs>
          <w:tab w:val="num" w:pos="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n36"/>
      <w:bookmarkEnd w:id="1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ціллю розробки проекту </w:t>
      </w:r>
      <w:r w:rsidRPr="006A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</w:t>
      </w:r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Pr="006A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правових умов для </w:t>
      </w:r>
      <w:r w:rsidR="006A070F" w:rsidRPr="006A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замовниками публічних закупівель за допомогою </w:t>
      </w:r>
      <w:r w:rsidR="001265D6">
        <w:rPr>
          <w:rFonts w:ascii="Times New Roman" w:eastAsia="Times New Roman" w:hAnsi="Times New Roman" w:cs="Times New Roman"/>
          <w:sz w:val="28"/>
          <w:szCs w:val="28"/>
          <w:lang w:eastAsia="ru-RU"/>
        </w:rPr>
        <w:t>ЦЗО</w:t>
      </w:r>
      <w:r w:rsidR="009C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із вимогами</w:t>
      </w:r>
      <w:r w:rsidR="009C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Закону, що сприятиме виконанню узятих Україною європейських зобов’язань в частині </w:t>
      </w:r>
      <w:r w:rsidR="009C1978" w:rsidRPr="00BC6204">
        <w:rPr>
          <w:rFonts w:ascii="Times New Roman" w:hAnsi="Times New Roman"/>
          <w:sz w:val="28"/>
          <w:szCs w:val="28"/>
        </w:rPr>
        <w:t>формування та імплементація нових організаційно-правових та фінансово-економічних механізмів, спрямованих на підвищення ефективності, професійності та централізації проце</w:t>
      </w:r>
      <w:r w:rsidR="009C1978">
        <w:rPr>
          <w:rFonts w:ascii="Times New Roman" w:hAnsi="Times New Roman"/>
          <w:sz w:val="28"/>
          <w:szCs w:val="28"/>
        </w:rPr>
        <w:t>су публічних закупівель.</w:t>
      </w:r>
    </w:p>
    <w:p w:rsidR="00C62270" w:rsidRPr="006A070F" w:rsidRDefault="00C62270" w:rsidP="00957CEC">
      <w:pPr>
        <w:widowControl w:val="0"/>
        <w:tabs>
          <w:tab w:val="num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70" w:rsidRPr="00C62270" w:rsidRDefault="00C62270" w:rsidP="00957CEC">
      <w:pPr>
        <w:shd w:val="clear" w:color="auto" w:fill="FFFFFF"/>
        <w:spacing w:after="0" w:line="240" w:lineRule="auto"/>
        <w:ind w:left="448" w:right="44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62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III. Визначення та оцінка альтернативних способів досягнення цілей</w:t>
      </w:r>
    </w:p>
    <w:p w:rsidR="00E97D2B" w:rsidRPr="00C62270" w:rsidRDefault="00E97D2B" w:rsidP="008E230D">
      <w:pPr>
        <w:widowControl w:val="0"/>
        <w:shd w:val="clear" w:color="auto" w:fill="FFFFFF"/>
        <w:spacing w:after="0" w:line="240" w:lineRule="auto"/>
        <w:ind w:left="448" w:right="448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70" w:rsidRPr="00C62270" w:rsidRDefault="00C62270" w:rsidP="00C62270">
      <w:pPr>
        <w:shd w:val="clear" w:color="auto" w:fill="FFFFFF"/>
        <w:spacing w:after="0" w:line="336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n38"/>
      <w:bookmarkEnd w:id="2"/>
      <w:r w:rsidRPr="00C62270">
        <w:rPr>
          <w:rFonts w:ascii="Times New Roman" w:eastAsia="Times New Roman" w:hAnsi="Times New Roman" w:cs="Times New Roman"/>
          <w:color w:val="000000"/>
          <w:sz w:val="28"/>
          <w:szCs w:val="28"/>
        </w:rPr>
        <w:t>1. Визначення альтернативних способів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6606"/>
      </w:tblGrid>
      <w:tr w:rsidR="001265D6" w:rsidRPr="001265D6" w:rsidTr="00957CEC">
        <w:trPr>
          <w:jc w:val="center"/>
        </w:trPr>
        <w:tc>
          <w:tcPr>
            <w:tcW w:w="1465" w:type="pct"/>
          </w:tcPr>
          <w:p w:rsidR="001265D6" w:rsidRPr="001265D6" w:rsidRDefault="001265D6" w:rsidP="001265D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535" w:type="pct"/>
          </w:tcPr>
          <w:p w:rsidR="001265D6" w:rsidRPr="001265D6" w:rsidRDefault="001265D6" w:rsidP="001265D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альтернативи</w:t>
            </w:r>
          </w:p>
        </w:tc>
      </w:tr>
      <w:tr w:rsidR="001265D6" w:rsidRPr="001265D6" w:rsidTr="00957CEC">
        <w:trPr>
          <w:jc w:val="center"/>
        </w:trPr>
        <w:tc>
          <w:tcPr>
            <w:tcW w:w="1465" w:type="pct"/>
          </w:tcPr>
          <w:p w:rsidR="001265D6" w:rsidRPr="001265D6" w:rsidRDefault="001265D6" w:rsidP="0012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535" w:type="pct"/>
          </w:tcPr>
          <w:p w:rsidR="001265D6" w:rsidRPr="001265D6" w:rsidRDefault="001265D6" w:rsidP="008E230D">
            <w:pPr>
              <w:widowControl w:val="0"/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Залишити існуючу ситуацію без змін. </w:t>
            </w:r>
          </w:p>
          <w:p w:rsidR="001265D6" w:rsidRDefault="001265D6" w:rsidP="008E230D">
            <w:pPr>
              <w:widowControl w:val="0"/>
              <w:spacing w:after="0" w:line="240" w:lineRule="auto"/>
              <w:ind w:right="147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алишення нормативно-правова бази без змін є недоцільним, оскільки чинні нормативно-правові акти не врегульовують питання організації та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публічних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закупівель </w:t>
            </w: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ЦЗО в інтересах замовників відповідно до Закон</w:t>
            </w: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C7F19" w:rsidRPr="00762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E1696" w:rsidRPr="009C7F19" w:rsidRDefault="003E1696" w:rsidP="008E230D">
            <w:pPr>
              <w:widowControl w:val="0"/>
              <w:spacing w:after="0" w:line="240" w:lineRule="auto"/>
              <w:ind w:right="147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265D6" w:rsidRPr="001265D6" w:rsidTr="00957CEC">
        <w:trPr>
          <w:trHeight w:val="1408"/>
          <w:jc w:val="center"/>
        </w:trPr>
        <w:tc>
          <w:tcPr>
            <w:tcW w:w="1465" w:type="pct"/>
          </w:tcPr>
          <w:p w:rsidR="001265D6" w:rsidRPr="001265D6" w:rsidRDefault="001265D6" w:rsidP="0012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Альтернатива 2</w:t>
            </w:r>
          </w:p>
        </w:tc>
        <w:tc>
          <w:tcPr>
            <w:tcW w:w="3535" w:type="pct"/>
          </w:tcPr>
          <w:p w:rsidR="001265D6" w:rsidRDefault="001265D6" w:rsidP="008E230D">
            <w:pPr>
              <w:widowControl w:val="0"/>
              <w:spacing w:after="0" w:line="240" w:lineRule="auto"/>
              <w:ind w:right="147" w:firstLine="3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Державне регулювання зазначеної ситуації шляхом прийняття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цієї постанови.</w:t>
            </w:r>
            <w:r w:rsidRPr="00126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265D6" w:rsidRDefault="001265D6" w:rsidP="008E230D">
            <w:pPr>
              <w:widowControl w:val="0"/>
              <w:spacing w:after="0" w:line="240" w:lineRule="auto"/>
              <w:ind w:right="147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Прийняття проекту постанови </w:t>
            </w: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забезпечить рефо</w:t>
            </w:r>
            <w:r w:rsidR="009C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рмування інституційної структу</w:t>
            </w:r>
            <w:r w:rsidR="009C7F19" w:rsidRPr="007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системи публічних закупівель у відповідності до законодавства ЄС в частині формування та імплементац</w:t>
            </w: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9C7F19" w:rsidRPr="007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нових організаційно-правових та фінансово-економічних механізмів, спрямованих на підвищення ефективності, професійності та розумної централізації процесу публічних закупівель, шляхом встановлення механізму визначення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ЦЗО</w:t>
            </w: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умов їх діяльності.</w:t>
            </w:r>
          </w:p>
          <w:p w:rsidR="001265D6" w:rsidRPr="001265D6" w:rsidRDefault="001265D6" w:rsidP="008E230D">
            <w:pPr>
              <w:widowControl w:val="0"/>
              <w:spacing w:after="0" w:line="240" w:lineRule="auto"/>
              <w:ind w:right="147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з тим з</w:t>
            </w: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замовником</w:t>
            </w: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публічних </w:t>
            </w: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допомогою ЦЗО</w:t>
            </w: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відповідати кращим світовим практикам у сфері публічних закупівель та створить передумови для встановлення стабільних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зв’язків </w:t>
            </w:r>
            <w:r w:rsidRPr="001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між державою та суб’єктами господарювання. </w:t>
            </w:r>
          </w:p>
        </w:tc>
      </w:tr>
    </w:tbl>
    <w:p w:rsidR="00AE7575" w:rsidRDefault="00AE7575" w:rsidP="00AE757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0E10" w:rsidRPr="00D30E10" w:rsidRDefault="00D30E10" w:rsidP="00D30E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0E10">
        <w:rPr>
          <w:rFonts w:ascii="Times New Roman" w:hAnsi="Times New Roman" w:cs="Times New Roman"/>
          <w:sz w:val="28"/>
          <w:szCs w:val="28"/>
          <w:lang w:eastAsia="en-US"/>
        </w:rPr>
        <w:t>2. Оцінка вибраних альтернативних способів досягнення цілей</w:t>
      </w:r>
      <w:r w:rsidR="00AE757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30E10" w:rsidRDefault="00D30E10" w:rsidP="00AE75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0E10">
        <w:rPr>
          <w:rFonts w:ascii="Times New Roman" w:hAnsi="Times New Roman" w:cs="Times New Roman"/>
          <w:sz w:val="28"/>
          <w:szCs w:val="28"/>
          <w:lang w:eastAsia="en-US"/>
        </w:rPr>
        <w:t>Оцінка впливу на сферу інтересів держави. Розрахунок оцінки впливу на сферу інтересів держави для одного замовника</w:t>
      </w:r>
      <w:r>
        <w:rPr>
          <w:rFonts w:ascii="Times New Roman" w:hAnsi="Times New Roman" w:cs="Times New Roman"/>
          <w:sz w:val="28"/>
          <w:szCs w:val="28"/>
          <w:lang w:eastAsia="en-US"/>
        </w:rPr>
        <w:t>, який проводить свою закупівлю за допомогою ЦЗО</w:t>
      </w:r>
      <w:r w:rsidRPr="00D30E10">
        <w:rPr>
          <w:rFonts w:ascii="Times New Roman" w:hAnsi="Times New Roman" w:cs="Times New Roman"/>
          <w:sz w:val="28"/>
          <w:szCs w:val="28"/>
          <w:lang w:eastAsia="en-US"/>
        </w:rPr>
        <w:t xml:space="preserve"> наведено </w:t>
      </w:r>
      <w:r w:rsidR="00245E25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D30E10">
        <w:rPr>
          <w:rFonts w:ascii="Times New Roman" w:hAnsi="Times New Roman" w:cs="Times New Roman"/>
          <w:sz w:val="28"/>
          <w:szCs w:val="28"/>
          <w:lang w:eastAsia="en-US"/>
        </w:rPr>
        <w:t xml:space="preserve"> додатку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108"/>
        <w:gridCol w:w="3100"/>
      </w:tblGrid>
      <w:tr w:rsidR="00217915" w:rsidRPr="00217915" w:rsidTr="00AE7575">
        <w:tc>
          <w:tcPr>
            <w:tcW w:w="3136" w:type="dxa"/>
          </w:tcPr>
          <w:p w:rsidR="00217915" w:rsidRPr="00217915" w:rsidRDefault="00217915" w:rsidP="0021791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108" w:type="dxa"/>
          </w:tcPr>
          <w:p w:rsidR="00217915" w:rsidRPr="00217915" w:rsidRDefault="00217915" w:rsidP="0021791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</w:rPr>
              <w:t>Вигоди</w:t>
            </w:r>
          </w:p>
        </w:tc>
        <w:tc>
          <w:tcPr>
            <w:tcW w:w="3100" w:type="dxa"/>
          </w:tcPr>
          <w:p w:rsidR="00217915" w:rsidRPr="00217915" w:rsidRDefault="00217915" w:rsidP="0021791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</w:p>
        </w:tc>
      </w:tr>
      <w:tr w:rsidR="00217915" w:rsidRPr="00217915" w:rsidTr="00AE7575">
        <w:tc>
          <w:tcPr>
            <w:tcW w:w="3136" w:type="dxa"/>
          </w:tcPr>
          <w:p w:rsidR="00217915" w:rsidRPr="00217915" w:rsidRDefault="00217915" w:rsidP="00217915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108" w:type="dxa"/>
          </w:tcPr>
          <w:p w:rsidR="00217915" w:rsidRPr="00F11DA5" w:rsidRDefault="00217915" w:rsidP="00217915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замовником самостійно</w:t>
            </w: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тендерний комітет або уповноважену особу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</w:tcPr>
          <w:p w:rsidR="00217915" w:rsidRPr="00217915" w:rsidRDefault="00217915" w:rsidP="002B19EE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підписання 1 договору про закупівлю за результатом проведення процедури закупівлі замовником (</w:t>
            </w:r>
            <w:r w:rsidRPr="002B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державою) витрачається в середньому </w:t>
            </w:r>
            <w:r w:rsidR="002B19EE" w:rsidRPr="002B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  <w:r w:rsidRPr="002B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або </w:t>
            </w:r>
            <w:r w:rsidR="002B19EE" w:rsidRPr="002B1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1246,</w:t>
            </w:r>
            <w:r w:rsidRPr="002B1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B19EE" w:rsidRPr="002B1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B1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гривень.</w:t>
            </w:r>
          </w:p>
        </w:tc>
      </w:tr>
      <w:tr w:rsidR="00217915" w:rsidRPr="00217915" w:rsidTr="00AE7575">
        <w:tc>
          <w:tcPr>
            <w:tcW w:w="3136" w:type="dxa"/>
          </w:tcPr>
          <w:p w:rsidR="00217915" w:rsidRPr="00217915" w:rsidRDefault="00217915" w:rsidP="00217915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3108" w:type="dxa"/>
          </w:tcPr>
          <w:p w:rsidR="00217915" w:rsidRPr="00217915" w:rsidRDefault="00217915" w:rsidP="00217915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замовниками публічних закупівель за допомогою ЦЗО як високопрофесійних закупівельних організацій, що результатом роботи яких є здійснення ефективних та якісних закупівель товарів, робіт та послуг для замовників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0" w:type="dxa"/>
          </w:tcPr>
          <w:p w:rsidR="00217915" w:rsidRPr="00217915" w:rsidRDefault="00217915" w:rsidP="002B19EE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підписання 1 договору про закупівлю за результатом проведення закупівлі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 ЦЗО</w:t>
            </w:r>
            <w:r w:rsidRPr="0021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замовником (</w:t>
            </w:r>
            <w:r w:rsidRPr="002B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державою) буде витрачатися в середньому </w:t>
            </w:r>
            <w:r w:rsidR="002B19EE" w:rsidRPr="002B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B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годин або </w:t>
            </w:r>
            <w:r w:rsidR="002B19EE" w:rsidRPr="002B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Pr="002B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19EE" w:rsidRPr="002B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гривень.</w:t>
            </w:r>
          </w:p>
        </w:tc>
      </w:tr>
    </w:tbl>
    <w:p w:rsidR="00973E94" w:rsidRDefault="00973E94" w:rsidP="00DF724C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24C" w:rsidRDefault="00DF724C" w:rsidP="00973E94">
      <w:pPr>
        <w:widowControl w:val="0"/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</w:t>
      </w:r>
      <w:r w:rsidRPr="00DF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поширюється та не впливає на сферу інтересів громадян.</w:t>
      </w:r>
    </w:p>
    <w:p w:rsidR="00990DFD" w:rsidRDefault="00990DFD" w:rsidP="00973E94">
      <w:pPr>
        <w:widowControl w:val="0"/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7A5" w:rsidRPr="00694959" w:rsidRDefault="00DF724C" w:rsidP="00973E94">
      <w:pPr>
        <w:widowControl w:val="0"/>
        <w:shd w:val="clear" w:color="auto" w:fill="FFFFFF"/>
        <w:spacing w:after="0" w:line="360" w:lineRule="auto"/>
        <w:ind w:firstLine="44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 Оцінка впливу на сферу інтересів суб’єктів господарювання. </w:t>
      </w:r>
    </w:p>
    <w:p w:rsidR="007D67A5" w:rsidRPr="00694959" w:rsidRDefault="00DF724C" w:rsidP="00973E94">
      <w:pPr>
        <w:widowControl w:val="0"/>
        <w:shd w:val="clear" w:color="auto" w:fill="FFFFFF"/>
        <w:spacing w:after="0" w:line="360" w:lineRule="auto"/>
        <w:ind w:firstLine="44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 оцінки впливу на сферу інтересів суб’єктів господарювання</w:t>
      </w:r>
      <w:r w:rsidR="007627D5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="007D67A5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3E94" w:rsidRDefault="007D67A5" w:rsidP="00973E94">
      <w:pPr>
        <w:widowControl w:val="0"/>
        <w:shd w:val="clear" w:color="auto" w:fill="FFFFFF"/>
        <w:spacing w:after="0" w:line="360" w:lineRule="auto"/>
        <w:ind w:firstLine="44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73E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однієї </w:t>
      </w:r>
      <w:r w:rsidR="007627D5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юридичної особи</w:t>
      </w:r>
      <w:r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27D5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у розумінні Закону є </w:t>
      </w:r>
      <w:r w:rsidR="00FC2FDB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r w:rsidR="007627D5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C2FDB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7D5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FC2FDB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7D5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зобов’язана здійснювати </w:t>
      </w:r>
      <w:r w:rsidR="00FC2FDB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</w:t>
      </w:r>
      <w:r w:rsidR="007627D5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2FDB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допомогою ЦЗО</w:t>
      </w:r>
      <w:r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2FDB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наведено у додатку 2</w:t>
      </w:r>
      <w:r w:rsidR="007627D5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724C" w:rsidRPr="00694959" w:rsidRDefault="007627D5" w:rsidP="00973E94">
      <w:pPr>
        <w:widowControl w:val="0"/>
        <w:shd w:val="clear" w:color="auto" w:fill="FFFFFF"/>
        <w:spacing w:after="0" w:line="360" w:lineRule="auto"/>
        <w:ind w:firstLine="44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FC2FDB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учасника, який </w:t>
      </w:r>
      <w:r w:rsidR="00DF724C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 участь у закупівлі</w:t>
      </w:r>
      <w:r w:rsidR="007D67A5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724C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наведено </w:t>
      </w:r>
      <w:r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F724C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додатку </w:t>
      </w:r>
      <w:r w:rsidR="00FC2FDB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F724C" w:rsidRPr="006949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24C" w:rsidRDefault="00DF724C" w:rsidP="00DF724C">
      <w:pPr>
        <w:shd w:val="clear" w:color="auto" w:fill="FFFFFF"/>
        <w:spacing w:after="0" w:line="336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24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 суб’єктів господарювання, що підпадають під дію цього регуляторного акта визначити кількісно наразі неможливо.</w:t>
      </w:r>
    </w:p>
    <w:p w:rsidR="0029257B" w:rsidRDefault="0029257B" w:rsidP="00DF724C">
      <w:pPr>
        <w:shd w:val="clear" w:color="auto" w:fill="FFFFFF"/>
        <w:spacing w:after="0" w:line="336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148" w:rsidRDefault="007C1148" w:rsidP="00DF724C">
      <w:pPr>
        <w:shd w:val="clear" w:color="auto" w:fill="FFFFFF"/>
        <w:spacing w:after="0" w:line="336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суб’єктів господарювання, які є замовниками в розумінні Закону та закупівля за допомогою ЦЗО є обов’язковою</w:t>
      </w:r>
    </w:p>
    <w:p w:rsidR="00973E94" w:rsidRPr="00DF724C" w:rsidRDefault="00973E94" w:rsidP="00973E94">
      <w:pPr>
        <w:widowControl w:val="0"/>
        <w:shd w:val="clear" w:color="auto" w:fill="FFFFFF"/>
        <w:spacing w:after="0" w:line="240" w:lineRule="auto"/>
        <w:ind w:firstLine="44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118"/>
        <w:gridCol w:w="3126"/>
      </w:tblGrid>
      <w:tr w:rsidR="00074075" w:rsidRPr="00074075" w:rsidTr="00957CEC">
        <w:tc>
          <w:tcPr>
            <w:tcW w:w="3106" w:type="dxa"/>
          </w:tcPr>
          <w:p w:rsidR="00074075" w:rsidRPr="00074075" w:rsidRDefault="00074075" w:rsidP="0007407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126" w:type="dxa"/>
          </w:tcPr>
          <w:p w:rsidR="00074075" w:rsidRPr="00074075" w:rsidRDefault="00074075" w:rsidP="0007407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</w:rPr>
              <w:t>Вигоди</w:t>
            </w:r>
          </w:p>
        </w:tc>
        <w:tc>
          <w:tcPr>
            <w:tcW w:w="3132" w:type="dxa"/>
          </w:tcPr>
          <w:p w:rsidR="00074075" w:rsidRPr="00074075" w:rsidRDefault="00074075" w:rsidP="0007407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</w:p>
        </w:tc>
      </w:tr>
      <w:tr w:rsidR="00074075" w:rsidRPr="00074075" w:rsidTr="00957CEC">
        <w:tc>
          <w:tcPr>
            <w:tcW w:w="3106" w:type="dxa"/>
          </w:tcPr>
          <w:p w:rsidR="00074075" w:rsidRPr="00074075" w:rsidRDefault="00074075" w:rsidP="00074075">
            <w:pPr>
              <w:spacing w:after="0" w:line="240" w:lineRule="auto"/>
              <w:ind w:right="7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126" w:type="dxa"/>
          </w:tcPr>
          <w:p w:rsidR="00074075" w:rsidRPr="005F07FE" w:rsidRDefault="00321A5C" w:rsidP="00321A5C">
            <w:pPr>
              <w:spacing w:after="0" w:line="240" w:lineRule="auto"/>
              <w:ind w:right="78"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Здійснення публічної закупівлі без допомоги ЦЗО відповідно до </w:t>
            </w:r>
            <w:r w:rsidR="00074075"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2" w:type="dxa"/>
          </w:tcPr>
          <w:p w:rsidR="00074075" w:rsidRPr="005F07FE" w:rsidRDefault="00074075" w:rsidP="005F07FE">
            <w:pPr>
              <w:spacing w:after="0" w:line="240" w:lineRule="auto"/>
              <w:ind w:right="78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підписання 1 договору про закупівлю за результатом проведення процедури закупівлі </w:t>
            </w:r>
            <w:r w:rsidR="00321A5C"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замовником</w:t>
            </w:r>
            <w:r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(суб’єктом господарювання) витрачається в середньому </w:t>
            </w:r>
            <w:r w:rsidR="005F07FE"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  <w:r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або </w:t>
            </w:r>
            <w:r w:rsidR="005F07FE"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1246,91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гривень.</w:t>
            </w:r>
          </w:p>
        </w:tc>
      </w:tr>
      <w:tr w:rsidR="00074075" w:rsidRPr="00074075" w:rsidTr="00957CEC">
        <w:tc>
          <w:tcPr>
            <w:tcW w:w="3106" w:type="dxa"/>
          </w:tcPr>
          <w:p w:rsidR="00074075" w:rsidRPr="00074075" w:rsidRDefault="00074075" w:rsidP="00F317A6">
            <w:pPr>
              <w:spacing w:after="0" w:line="240" w:lineRule="auto"/>
              <w:ind w:right="7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3126" w:type="dxa"/>
          </w:tcPr>
          <w:p w:rsidR="00074075" w:rsidRPr="00074075" w:rsidRDefault="00321A5C" w:rsidP="00074075">
            <w:pPr>
              <w:spacing w:after="0" w:line="240" w:lineRule="auto"/>
              <w:ind w:right="78"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замовником ефективних закупівель за допомогою ЦЗО я професійної закупівельної організації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2" w:type="dxa"/>
          </w:tcPr>
          <w:p w:rsidR="00074075" w:rsidRPr="00074075" w:rsidRDefault="00074075" w:rsidP="005F07FE">
            <w:pPr>
              <w:spacing w:after="0" w:line="240" w:lineRule="auto"/>
              <w:ind w:right="78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підписання 1 договору про закупівлю за результатом проведення закупівлі </w:t>
            </w:r>
            <w:r w:rsidR="0032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ЦЗО в інтересах замовника, ним </w:t>
            </w: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суб’єктом господарювання) витрачатиметься в середньому </w:t>
            </w:r>
            <w:r w:rsidR="005F07FE"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або </w:t>
            </w:r>
            <w:r w:rsidR="005F07FE" w:rsidRPr="005F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145,66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гривень.</w:t>
            </w:r>
          </w:p>
        </w:tc>
      </w:tr>
    </w:tbl>
    <w:p w:rsidR="001B0320" w:rsidRDefault="001B0320" w:rsidP="00973E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1148" w:rsidRDefault="007C1148" w:rsidP="00973E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Для суб’єктів господарювання, які є учасниками в розумінні Закону</w:t>
      </w:r>
    </w:p>
    <w:p w:rsidR="00973E94" w:rsidRDefault="00973E94" w:rsidP="00973E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3119"/>
        <w:gridCol w:w="3126"/>
      </w:tblGrid>
      <w:tr w:rsidR="007C1148" w:rsidRPr="00074075" w:rsidTr="00957CEC">
        <w:tc>
          <w:tcPr>
            <w:tcW w:w="3106" w:type="dxa"/>
          </w:tcPr>
          <w:p w:rsidR="007C1148" w:rsidRPr="00074075" w:rsidRDefault="007C1148" w:rsidP="00957CE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126" w:type="dxa"/>
          </w:tcPr>
          <w:p w:rsidR="007C1148" w:rsidRPr="00074075" w:rsidRDefault="007C1148" w:rsidP="00957CE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</w:rPr>
              <w:t>Вигоди</w:t>
            </w:r>
          </w:p>
        </w:tc>
        <w:tc>
          <w:tcPr>
            <w:tcW w:w="3132" w:type="dxa"/>
          </w:tcPr>
          <w:p w:rsidR="007C1148" w:rsidRPr="00074075" w:rsidRDefault="007C1148" w:rsidP="00957CE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</w:p>
        </w:tc>
      </w:tr>
      <w:tr w:rsidR="007C1148" w:rsidRPr="00074075" w:rsidTr="00957CEC">
        <w:tc>
          <w:tcPr>
            <w:tcW w:w="3106" w:type="dxa"/>
          </w:tcPr>
          <w:p w:rsidR="007C1148" w:rsidRPr="00074075" w:rsidRDefault="007C1148" w:rsidP="00F317A6">
            <w:pPr>
              <w:spacing w:after="0" w:line="240" w:lineRule="auto"/>
              <w:ind w:right="7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126" w:type="dxa"/>
          </w:tcPr>
          <w:p w:rsidR="007C1148" w:rsidRPr="00074075" w:rsidRDefault="007C1148" w:rsidP="00321A5C">
            <w:pPr>
              <w:spacing w:after="0" w:line="240" w:lineRule="auto"/>
              <w:ind w:right="78"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виключно в процедурах закупівель передбачених Законом</w:t>
            </w:r>
            <w:r w:rsidR="0032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які організовуються замовником самостійно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2" w:type="dxa"/>
          </w:tcPr>
          <w:p w:rsidR="007C1148" w:rsidRPr="00074075" w:rsidRDefault="007C1148" w:rsidP="007D67A5">
            <w:pPr>
              <w:widowControl w:val="0"/>
              <w:spacing w:after="0" w:line="240" w:lineRule="auto"/>
              <w:ind w:right="79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підписання 1 договору про закупівлю за результатом проведення процедури закупівлі учасником (суб’єктом </w:t>
            </w:r>
            <w:r w:rsidRPr="007D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господарювання) витрачається в середньому </w:t>
            </w:r>
            <w:r w:rsidR="007D67A5" w:rsidRPr="007D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D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годин або 67</w:t>
            </w:r>
            <w:r w:rsidR="007D67A5" w:rsidRPr="007D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7D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67A5" w:rsidRPr="007D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гривень.</w:t>
            </w:r>
          </w:p>
        </w:tc>
      </w:tr>
      <w:tr w:rsidR="007C1148" w:rsidRPr="00074075" w:rsidTr="00957CEC">
        <w:tc>
          <w:tcPr>
            <w:tcW w:w="3106" w:type="dxa"/>
          </w:tcPr>
          <w:p w:rsidR="007C1148" w:rsidRPr="00074075" w:rsidRDefault="007C1148" w:rsidP="00957CEC">
            <w:pPr>
              <w:spacing w:after="0" w:line="240" w:lineRule="auto"/>
              <w:ind w:right="7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Альтернатива 2</w:t>
            </w:r>
          </w:p>
        </w:tc>
        <w:tc>
          <w:tcPr>
            <w:tcW w:w="3126" w:type="dxa"/>
          </w:tcPr>
          <w:p w:rsidR="007C1148" w:rsidRPr="00074075" w:rsidRDefault="007C1148" w:rsidP="00321A5C">
            <w:pPr>
              <w:spacing w:after="0" w:line="240" w:lineRule="auto"/>
              <w:ind w:right="78"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суб’єктів господарювання в публічних закупівлях, що </w:t>
            </w:r>
            <w:r w:rsidR="0032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поводяться ЦЗО в інтересах інших замовників </w:t>
            </w: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сприятиме їх економічному зростанню</w:t>
            </w:r>
            <w:r w:rsidR="0032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рахунок агрегації закупівлі)</w:t>
            </w: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отримання взаєм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овигідних контрактів з державою.</w:t>
            </w:r>
          </w:p>
        </w:tc>
        <w:tc>
          <w:tcPr>
            <w:tcW w:w="3132" w:type="dxa"/>
          </w:tcPr>
          <w:p w:rsidR="007C1148" w:rsidRPr="00074075" w:rsidRDefault="007C1148" w:rsidP="00AE7575">
            <w:pPr>
              <w:spacing w:after="0" w:line="240" w:lineRule="auto"/>
              <w:ind w:right="78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підписання 1 договору про </w:t>
            </w:r>
            <w:r w:rsidRPr="00AE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закупівлю за результатом проведення закупівлі </w:t>
            </w:r>
            <w:r w:rsidR="00321A5C" w:rsidRPr="00AE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ЦЗО</w:t>
            </w:r>
            <w:r w:rsidRPr="00AE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(суб’єктом господарювання) витрачатиметься в середньому </w:t>
            </w:r>
            <w:r w:rsidR="00AE7575" w:rsidRPr="00AE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  <w:r w:rsidRPr="00AE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або </w:t>
            </w:r>
            <w:r w:rsidR="00AE7575" w:rsidRPr="00AE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6721,26 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гривень.</w:t>
            </w:r>
          </w:p>
        </w:tc>
      </w:tr>
    </w:tbl>
    <w:p w:rsidR="007C1148" w:rsidRDefault="007C1148" w:rsidP="00957C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2087" w:rsidRPr="004E2087" w:rsidRDefault="004E2087" w:rsidP="00957CEC">
      <w:pPr>
        <w:widowControl w:val="0"/>
        <w:shd w:val="clear" w:color="auto" w:fill="FFFFFF"/>
        <w:spacing w:after="0" w:line="240" w:lineRule="auto"/>
        <w:ind w:left="448" w:right="44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E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IV. Вибір найбільш оптимального альтернативного способу досягнення цілей</w:t>
      </w:r>
    </w:p>
    <w:p w:rsidR="004E2087" w:rsidRPr="004E2087" w:rsidRDefault="004E2087" w:rsidP="00957CEC">
      <w:pPr>
        <w:widowControl w:val="0"/>
        <w:shd w:val="clear" w:color="auto" w:fill="FFFFFF"/>
        <w:spacing w:after="0" w:line="240" w:lineRule="auto"/>
        <w:ind w:left="450" w:right="45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1979"/>
        <w:gridCol w:w="2403"/>
        <w:gridCol w:w="2973"/>
      </w:tblGrid>
      <w:tr w:rsidR="00C679C4" w:rsidRPr="00CC4746" w:rsidTr="00156992">
        <w:trPr>
          <w:jc w:val="center"/>
        </w:trPr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CC474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CC474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CC474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Коментарі щодо присвоєння відповідного </w:t>
            </w:r>
            <w:proofErr w:type="spellStart"/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</w:t>
            </w:r>
            <w:proofErr w:type="spellEnd"/>
          </w:p>
        </w:tc>
      </w:tr>
      <w:tr w:rsidR="00C679C4" w:rsidRPr="00CC4746" w:rsidTr="00156992">
        <w:trPr>
          <w:jc w:val="center"/>
        </w:trPr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646251">
            <w:pPr>
              <w:spacing w:after="0" w:line="240" w:lineRule="auto"/>
              <w:ind w:left="142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CC474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CC4746">
            <w:pPr>
              <w:spacing w:after="0" w:line="240" w:lineRule="auto"/>
              <w:ind w:right="78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 альтернатива не дає змоги досягнути поставлених цілей державного регулювання та відповідно порушує вимоги Закону в частині обмеження замовників в використанні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ЦЗО для здійснення закупівель.</w:t>
            </w:r>
          </w:p>
        </w:tc>
      </w:tr>
      <w:tr w:rsidR="00C679C4" w:rsidRPr="00CC4746" w:rsidTr="00156992">
        <w:trPr>
          <w:jc w:val="center"/>
        </w:trPr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646251">
            <w:pPr>
              <w:spacing w:after="0" w:line="240" w:lineRule="auto"/>
              <w:ind w:left="142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Альтернатива </w:t>
            </w: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CC474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1C27F3" w:rsidP="001C27F3">
            <w:pPr>
              <w:spacing w:after="0" w:line="240" w:lineRule="auto"/>
              <w:ind w:right="78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</w:t>
            </w:r>
            <w:r w:rsidRPr="001C2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альтернатива дає змогу повністю досягнути поставлених цілей державного регулювання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шляхом в</w:t>
            </w:r>
            <w:r w:rsidR="00CC4746"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ання</w:t>
            </w:r>
            <w:r w:rsidR="00CC4746"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вимог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</w:t>
            </w:r>
            <w:r w:rsidR="00CC4746"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узятих </w:t>
            </w:r>
            <w:r w:rsidR="00CC4746"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Україною міжнародних зобов’язань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79C4" w:rsidRPr="00CC4746" w:rsidTr="00156992">
        <w:trPr>
          <w:jc w:val="center"/>
        </w:trPr>
        <w:tc>
          <w:tcPr>
            <w:tcW w:w="2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746" w:rsidRPr="00CC4746" w:rsidRDefault="00CC4746" w:rsidP="00CC474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746" w:rsidRPr="00CC4746" w:rsidRDefault="00CC4746" w:rsidP="00CC474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746" w:rsidRPr="00CC4746" w:rsidRDefault="00CC4746" w:rsidP="00CC474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A3DA1" w:rsidRPr="00CC4746" w:rsidTr="00156992">
        <w:tblPrEx>
          <w:jc w:val="left"/>
        </w:tblPrEx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CC474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91"/>
            <w:bookmarkEnd w:id="4"/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CC474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t>Вигоди (підсумок)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CC474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(підсумок)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CC474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4A3DA1" w:rsidRPr="00CC4746" w:rsidTr="00156992">
        <w:tblPrEx>
          <w:jc w:val="left"/>
        </w:tblPrEx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646251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156992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не вирішує проблему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CF55A7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підписання 1 договору про закупівлю за результатом проведення процедури закупівлі в середньому </w:t>
            </w:r>
            <w:r w:rsidRPr="00C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витрачається замовником 5</w:t>
            </w:r>
            <w:r w:rsidR="00CF55A7" w:rsidRPr="00C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Pr="00C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або </w:t>
            </w:r>
            <w:r w:rsidR="00CF55A7" w:rsidRPr="00C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1246,91</w:t>
            </w:r>
            <w:r w:rsidRPr="00C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 та учасником </w:t>
            </w:r>
            <w:r w:rsidR="00CF55A7" w:rsidRPr="00C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Pr="00C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годин або 67</w:t>
            </w:r>
            <w:r w:rsidR="00CF55A7" w:rsidRPr="00C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C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55A7" w:rsidRPr="00C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4A3DA1" w:rsidP="00156992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  <w:r w:rsidRPr="004A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альтернатива призведе до невиконання вимог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в частині встановлення Кабінетом Міністрів України особливостей створення та діяльності ЦЗО, а також </w:t>
            </w:r>
            <w:r w:rsidR="00C679C4" w:rsidRPr="00C6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C6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679C4" w:rsidRPr="00C6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Плану пріоритетних дій Уряду на 2018 рік, затвердженого розпорядженням Кабінету </w:t>
            </w:r>
            <w:r w:rsidR="00C679C4" w:rsidRPr="00C6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Міністрів України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28 березня 2018 р. № 244-р.</w:t>
            </w:r>
          </w:p>
        </w:tc>
      </w:tr>
      <w:tr w:rsidR="004A3DA1" w:rsidRPr="00CC4746" w:rsidTr="00156992">
        <w:tblPrEx>
          <w:jc w:val="left"/>
        </w:tblPrEx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646251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156992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повністю вирішує проблему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CC4746" w:rsidP="00FF1107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підписання 1 договору про закупівлю</w:t>
            </w:r>
            <w:r w:rsid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який було укладено шляхом проведення закупівлі ЦЗО в інтересах інших замовників, </w:t>
            </w:r>
            <w:r w:rsidRPr="00CC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планується витрачати в середньому </w:t>
            </w:r>
            <w:r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замовником </w:t>
            </w:r>
            <w:r w:rsidR="00C0662E"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години або </w:t>
            </w:r>
            <w:r w:rsidR="00C0662E"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145,66</w:t>
            </w:r>
            <w:r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</w:t>
            </w:r>
            <w:r w:rsidR="00156992"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замовником як </w:t>
            </w:r>
            <w:r w:rsidR="00C0662E"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r w:rsidR="00156992"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господарювання, який </w:t>
            </w:r>
            <w:r w:rsidR="00C0662E"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r w:rsidR="00156992"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використовує ЦЗО для здійснення закупівель - </w:t>
            </w:r>
            <w:r w:rsidR="006F51D5"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  <w:r w:rsid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годин або </w:t>
            </w:r>
            <w:r w:rsidR="006F51D5" w:rsidRPr="00C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145,66 </w:t>
            </w:r>
            <w:r w:rsid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992" w:rsidRPr="00FF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r w:rsidRPr="00FF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учасником </w:t>
            </w:r>
            <w:r w:rsidR="00FF1107" w:rsidRPr="00FF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  <w:r w:rsidRPr="00FF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або </w:t>
            </w:r>
            <w:r w:rsidR="00FF1107" w:rsidRPr="00FF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6721,26</w:t>
            </w:r>
            <w:r w:rsidRPr="00FF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6" w:rsidRPr="00CC4746" w:rsidRDefault="00E422DE" w:rsidP="00156992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альтернатива забезпечить у повній мірі досягнення поставлених цілей та дозволить забезпечити виконання вимог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та </w:t>
            </w:r>
            <w:r w:rsidRPr="00C6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Плану пріоритетних дій Уряду на 2018 рік, затвердженого розпорядженням Кабінету Міністрів України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28 березня 2018 р. № 244-р.</w:t>
            </w:r>
          </w:p>
        </w:tc>
      </w:tr>
    </w:tbl>
    <w:p w:rsidR="004E2087" w:rsidRDefault="004E2087" w:rsidP="00D30E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891"/>
        <w:gridCol w:w="3113"/>
      </w:tblGrid>
      <w:tr w:rsidR="00D77B24" w:rsidRPr="00D77B24" w:rsidTr="00957CEC">
        <w:tc>
          <w:tcPr>
            <w:tcW w:w="1252" w:type="pct"/>
          </w:tcPr>
          <w:p w:rsidR="00D77B24" w:rsidRPr="00D77B24" w:rsidRDefault="00D77B24" w:rsidP="00D77B2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24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2082" w:type="pct"/>
          </w:tcPr>
          <w:p w:rsidR="00D77B24" w:rsidRPr="00D77B24" w:rsidRDefault="00D77B24" w:rsidP="00D77B2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24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666" w:type="pct"/>
          </w:tcPr>
          <w:p w:rsidR="00D77B24" w:rsidRPr="00D77B24" w:rsidRDefault="00D77B24" w:rsidP="00D77B2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24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77B24" w:rsidRPr="00D77B24" w:rsidTr="00957CEC">
        <w:tc>
          <w:tcPr>
            <w:tcW w:w="1252" w:type="pct"/>
          </w:tcPr>
          <w:p w:rsidR="00D77B24" w:rsidRPr="00D77B24" w:rsidRDefault="00D77B24" w:rsidP="00D77B24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2082" w:type="pct"/>
          </w:tcPr>
          <w:p w:rsidR="00D77B24" w:rsidRPr="00D77B24" w:rsidRDefault="00D77B24" w:rsidP="00D77B24">
            <w:pPr>
              <w:spacing w:after="0" w:line="240" w:lineRule="auto"/>
              <w:ind w:right="78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Альтернатива не є ефективною з огляду на необхідність виконання вимог Закону в частині надання можливості здійснювати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замовниками публічні закупівлі за допомогою ЦЗО 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pct"/>
          </w:tcPr>
          <w:p w:rsidR="00D77B24" w:rsidRPr="00D77B24" w:rsidRDefault="00F11DA5" w:rsidP="00D77B24">
            <w:pPr>
              <w:spacing w:after="0" w:line="240" w:lineRule="auto"/>
              <w:ind w:right="78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можливо визначити.</w:t>
            </w:r>
          </w:p>
        </w:tc>
      </w:tr>
      <w:tr w:rsidR="00D77B24" w:rsidRPr="00D77B24" w:rsidTr="00957CEC">
        <w:tc>
          <w:tcPr>
            <w:tcW w:w="1252" w:type="pct"/>
          </w:tcPr>
          <w:p w:rsidR="00D77B24" w:rsidRPr="00D77B24" w:rsidRDefault="00D77B24" w:rsidP="00D77B24">
            <w:pPr>
              <w:spacing w:after="0" w:line="240" w:lineRule="auto"/>
              <w:ind w:right="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2082" w:type="pct"/>
          </w:tcPr>
          <w:p w:rsidR="00D77B24" w:rsidRPr="00D77B24" w:rsidRDefault="00D77B24" w:rsidP="00D77B24">
            <w:pPr>
              <w:spacing w:after="0" w:line="240" w:lineRule="auto"/>
              <w:ind w:right="78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Ця </w:t>
            </w:r>
            <w:r w:rsidRPr="00D7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дозволяє повністю досягнути поставлених цілей державного регулювання без будь-яких витрат суб’єктами господарювання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також будуть дотримані вимоги діючого законодавства та 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міжнародні зобов’язання України.</w:t>
            </w:r>
          </w:p>
        </w:tc>
        <w:tc>
          <w:tcPr>
            <w:tcW w:w="1666" w:type="pct"/>
          </w:tcPr>
          <w:p w:rsidR="00D77B24" w:rsidRPr="00D77B24" w:rsidRDefault="00D77B24" w:rsidP="00D77B24">
            <w:pPr>
              <w:spacing w:after="0" w:line="240" w:lineRule="auto"/>
              <w:ind w:right="78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постанови</w:t>
            </w:r>
            <w:r w:rsidRPr="00D7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підзаконним актом, єдиним зовнішнім фактором на його</w:t>
            </w:r>
            <w:r w:rsidR="00F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дію є внесення змін до Закону.</w:t>
            </w:r>
          </w:p>
          <w:p w:rsidR="00D77B24" w:rsidRPr="00D77B24" w:rsidRDefault="00D77B24" w:rsidP="00D77B24">
            <w:pPr>
              <w:spacing w:after="0" w:line="240" w:lineRule="auto"/>
              <w:ind w:right="78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148" w:rsidRDefault="007C1148" w:rsidP="00957C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43A9" w:rsidRPr="003743A9" w:rsidRDefault="003743A9" w:rsidP="00957CEC">
      <w:pPr>
        <w:shd w:val="clear" w:color="auto" w:fill="FFFFFF"/>
        <w:spacing w:after="0" w:line="240" w:lineRule="auto"/>
        <w:ind w:left="448" w:right="44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7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V. Механізми та заходи, які забезпечать розв’язання визначеної проблеми</w:t>
      </w:r>
    </w:p>
    <w:p w:rsidR="003743A9" w:rsidRPr="003743A9" w:rsidRDefault="003743A9" w:rsidP="00957CEC">
      <w:pPr>
        <w:shd w:val="clear" w:color="auto" w:fill="FFFFFF"/>
        <w:spacing w:after="0" w:line="240" w:lineRule="auto"/>
        <w:ind w:left="450" w:right="4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3A9" w:rsidRPr="003743A9" w:rsidRDefault="003743A9" w:rsidP="003743A9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94"/>
      <w:bookmarkEnd w:id="5"/>
      <w:r w:rsidRPr="0037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Механізмом, який забезпечить розв’язання зазначеної проблеми, є прийняття регуляторного акта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постанови Кабінету Міністрів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України</w:t>
      </w:r>
      <w:r w:rsidRPr="0037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74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Особливості створення та діяльності централізованих закупівельних організацій”.</w:t>
      </w:r>
    </w:p>
    <w:p w:rsidR="008E5903" w:rsidRDefault="003743A9" w:rsidP="003743A9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</w:t>
      </w:r>
      <w:r w:rsidR="008E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постанови сприятиме виконанню вимог Закону та дозволить замовникам здійснювати закупівлі за допомогою ЦЗО, що забезпечить здійснення їх </w:t>
      </w:r>
      <w:proofErr w:type="spellStart"/>
      <w:r w:rsidR="008E5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</w:t>
      </w:r>
      <w:proofErr w:type="spellEnd"/>
      <w:r w:rsidR="008E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ефективно.</w:t>
      </w:r>
    </w:p>
    <w:p w:rsidR="003743A9" w:rsidRPr="003743A9" w:rsidRDefault="003743A9" w:rsidP="003743A9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43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Крім того, впровадження </w:t>
      </w:r>
      <w:r w:rsidR="008E5903" w:rsidRPr="008E59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такого професійного механізму</w:t>
      </w:r>
      <w:r w:rsidRPr="003743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E5903" w:rsidRPr="008E59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здійснення закупівлі за допомогою ЦЗО </w:t>
      </w:r>
      <w:r w:rsidRPr="003743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позитивно вплине</w:t>
      </w:r>
      <w:r w:rsidR="008E5903" w:rsidRPr="008E59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якісний розвиток сфери публічних закупівель, що сприятиме економії коштів, а також вплине</w:t>
      </w:r>
      <w:r w:rsidRPr="003743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позиції України у міжнародних рейтингах та забезпечить виконання міжнародних зобов’язань України в рамках Угоди про асоціацію з ЄС щодо гармонізації та адаптації вітчизняного законодавства у сфері публічних закупівель відповідно до Директив ЄС.</w:t>
      </w:r>
    </w:p>
    <w:p w:rsidR="007C1148" w:rsidRDefault="007C1148" w:rsidP="00957C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72DC" w:rsidRPr="00E472DC" w:rsidRDefault="00E472DC" w:rsidP="00957CEC">
      <w:pPr>
        <w:shd w:val="clear" w:color="auto" w:fill="FFFFFF"/>
        <w:spacing w:after="0" w:line="240" w:lineRule="auto"/>
        <w:ind w:left="448" w:right="44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4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E472DC" w:rsidRPr="00E472DC" w:rsidRDefault="00E472DC" w:rsidP="00957CEC">
      <w:pPr>
        <w:shd w:val="clear" w:color="auto" w:fill="FFFFFF"/>
        <w:spacing w:after="0" w:line="240" w:lineRule="auto"/>
        <w:ind w:left="450" w:right="4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2DC" w:rsidRPr="00E472DC" w:rsidRDefault="00E472DC" w:rsidP="00E472DC">
      <w:pPr>
        <w:shd w:val="clear" w:color="auto" w:fill="FFFFFF"/>
        <w:spacing w:after="0" w:line="360" w:lineRule="auto"/>
        <w:ind w:right="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96"/>
      <w:bookmarkStart w:id="7" w:name="n98"/>
      <w:bookmarkEnd w:id="6"/>
      <w:bookmarkEnd w:id="7"/>
      <w:r w:rsidRPr="00E4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Розрахунок оцінки ресурсів виконання вимог регуляторного акта наведено </w:t>
      </w:r>
      <w:r w:rsidR="00245E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додатках 1</w:t>
      </w:r>
      <w:r w:rsidR="00257D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148" w:rsidRDefault="007C1148" w:rsidP="00957C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2E10" w:rsidRPr="008C2E10" w:rsidRDefault="008C2E10" w:rsidP="00957CE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C2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VII. Обґрунтування запропонованого строку дії регуляторного акта</w:t>
      </w:r>
    </w:p>
    <w:p w:rsidR="008C2E10" w:rsidRPr="008C2E10" w:rsidRDefault="008C2E10" w:rsidP="00957CE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E10" w:rsidRPr="008C2E10" w:rsidRDefault="008C2E10" w:rsidP="008C2E10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n99"/>
      <w:bookmarkEnd w:id="8"/>
      <w:r w:rsidRPr="008C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 регуляторний акт розроблено на виконання вимог Закону, його дія поширюється на необмежений термін і обмежується дією Закону.</w:t>
      </w:r>
    </w:p>
    <w:p w:rsidR="008C2E10" w:rsidRPr="008C2E10" w:rsidRDefault="008C2E10" w:rsidP="008C2E10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 набрання чинності регуляторним актом – відповідно до законодавства після його офіційного оприлюднення.</w:t>
      </w:r>
    </w:p>
    <w:p w:rsidR="007E6661" w:rsidRDefault="007E6661" w:rsidP="00957C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275A8" w:rsidRPr="009275A8" w:rsidRDefault="009275A8" w:rsidP="00957CEC">
      <w:pPr>
        <w:widowControl w:val="0"/>
        <w:shd w:val="clear" w:color="auto" w:fill="FFFFFF"/>
        <w:spacing w:after="0" w:line="240" w:lineRule="auto"/>
        <w:ind w:left="448" w:right="44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2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VIII. Визначення показників результативності дії регуляторного акта</w:t>
      </w:r>
    </w:p>
    <w:p w:rsidR="009275A8" w:rsidRPr="009275A8" w:rsidRDefault="009275A8" w:rsidP="00957CEC">
      <w:pPr>
        <w:widowControl w:val="0"/>
        <w:shd w:val="clear" w:color="auto" w:fill="FFFFFF"/>
        <w:spacing w:after="0" w:line="240" w:lineRule="auto"/>
        <w:ind w:left="450" w:right="4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5A8" w:rsidRPr="009275A8" w:rsidRDefault="009275A8" w:rsidP="00FF1107">
      <w:pPr>
        <w:widowControl w:val="0"/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101"/>
      <w:bookmarkStart w:id="10" w:name="n102"/>
      <w:bookmarkEnd w:id="9"/>
      <w:bookmarkEnd w:id="10"/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регуляторного акта створить передумови для здійснення закупівель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замовниками за допомогою ЦЗО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сприятиме підвищенню рівня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професійності,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прозорості та відкритості процедур закупівель,</w:t>
      </w:r>
      <w:r w:rsidR="00CF2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також спрощення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проведення 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замовників,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учасників за рахунок агрегації предметів закупівлі </w:t>
      </w:r>
      <w:r w:rsidR="00E65A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розширення ринків збуту та отримання</w:t>
      </w:r>
      <w:r w:rsidR="00E6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збільшеного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прибутку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5A8" w:rsidRPr="009275A8" w:rsidRDefault="009275A8" w:rsidP="00FF1107">
      <w:pPr>
        <w:widowControl w:val="0"/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Прогнозними значеннями показників результативності регуляторного акта є:</w:t>
      </w:r>
    </w:p>
    <w:p w:rsidR="009275A8" w:rsidRPr="009275A8" w:rsidRDefault="009275A8" w:rsidP="00FF1107">
      <w:pPr>
        <w:widowControl w:val="0"/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надходжень до державного та місцевих бюджетів</w:t>
      </w:r>
      <w:r w:rsidR="00CF2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і державних цільових фондів, пов’язаних із дією акта – прямих надходжень до державного бюджету не передбачається.</w:t>
      </w:r>
    </w:p>
    <w:p w:rsidR="009275A8" w:rsidRPr="009275A8" w:rsidRDefault="009275A8" w:rsidP="009275A8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суб’єктів господарювання та/або фізичних осіб,</w:t>
      </w:r>
      <w:r w:rsidR="00CF2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яких поширюється дія акта – кількість суб’єктів господарювання, що підпадають під дію цього регуляторного акта визначити кількісно наразі неможливо.</w:t>
      </w:r>
    </w:p>
    <w:p w:rsidR="009275A8" w:rsidRPr="009275A8" w:rsidRDefault="009275A8" w:rsidP="009275A8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поінформованості суб’єктів господарювання та/або фізичних осіб з основних положень регуляторного акта – середній, оскільки повідомлення про оприлюднення проекту </w:t>
      </w:r>
      <w:r w:rsidR="00257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аналіз</w:t>
      </w:r>
      <w:r w:rsidR="00CF2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 впливу акта розміщено на офіційному веб-сайті Мінекономрозвитку (http://www.me.gov.ua) у розділі “Обговорення</w:t>
      </w:r>
      <w:r w:rsidR="00CF2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 документів”.</w:t>
      </w:r>
    </w:p>
    <w:p w:rsidR="009275A8" w:rsidRPr="009275A8" w:rsidRDefault="009275A8" w:rsidP="009275A8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що витрачається суб’єктами господарювання та/або фізичними особами, пов’язаними з виконанням вимог акта – наведено </w:t>
      </w:r>
      <w:r w:rsidR="00CF20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додатках 1</w:t>
      </w:r>
      <w:r w:rsidR="00257DC7">
        <w:rPr>
          <w:rFonts w:ascii="Times New Roman" w:eastAsia="Times New Roman" w:hAnsi="Times New Roman" w:cs="Times New Roman"/>
          <w:sz w:val="28"/>
          <w:szCs w:val="28"/>
          <w:lang w:eastAsia="ru-RU"/>
        </w:rPr>
        <w:t>-3.</w:t>
      </w:r>
    </w:p>
    <w:p w:rsidR="009275A8" w:rsidRPr="009275A8" w:rsidRDefault="009275A8" w:rsidP="009275A8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Статистичні показники:</w:t>
      </w:r>
    </w:p>
    <w:p w:rsidR="009275A8" w:rsidRPr="009275A8" w:rsidRDefault="009275A8" w:rsidP="009275A8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суб’єктів сфери публічних закупівель (замовників та учасників), які керуватимуться </w:t>
      </w:r>
      <w:r w:rsidR="00257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5A8" w:rsidRPr="009275A8" w:rsidRDefault="009275A8" w:rsidP="009275A8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укладених </w:t>
      </w:r>
      <w:r w:rsidR="00257DC7">
        <w:rPr>
          <w:rFonts w:ascii="Times New Roman" w:eastAsia="Times New Roman" w:hAnsi="Times New Roman" w:cs="Times New Roman"/>
          <w:sz w:val="28"/>
          <w:szCs w:val="28"/>
          <w:lang w:eastAsia="ru-RU"/>
        </w:rPr>
        <w:t>ЦЗО договорів в інтересах інших замовників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5A8" w:rsidRPr="009275A8" w:rsidRDefault="009275A8" w:rsidP="009275A8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 закупівель</w:t>
      </w:r>
      <w:r w:rsidR="00257DC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здійснюються ЦЗО для інших замовників</w:t>
      </w:r>
      <w:r w:rsidR="00CF2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D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загальному обсязі закупівель; </w:t>
      </w:r>
    </w:p>
    <w:p w:rsidR="009275A8" w:rsidRPr="009275A8" w:rsidRDefault="009275A8" w:rsidP="00F35FD7">
      <w:pPr>
        <w:widowControl w:val="0"/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 економії за договорами про закупівлю</w:t>
      </w:r>
      <w:r w:rsidR="00257D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укладеними ЦЗО</w:t>
      </w:r>
      <w:r w:rsidR="00CF2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інтересах інших замовників</w:t>
      </w:r>
      <w:r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5A8" w:rsidRDefault="00257DC7" w:rsidP="00F35FD7">
      <w:pPr>
        <w:widowControl w:val="0"/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створених в Україні ЦЗО</w:t>
      </w:r>
      <w:r w:rsidR="009275A8" w:rsidRPr="0092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CEC" w:rsidRPr="009275A8" w:rsidRDefault="00957CEC" w:rsidP="00957CEC">
      <w:pPr>
        <w:widowControl w:val="0"/>
        <w:tabs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FD7" w:rsidRPr="00F35FD7" w:rsidRDefault="00F35FD7" w:rsidP="00957CEC">
      <w:pPr>
        <w:widowControl w:val="0"/>
        <w:shd w:val="clear" w:color="auto" w:fill="FFFFFF"/>
        <w:spacing w:after="0" w:line="240" w:lineRule="auto"/>
        <w:ind w:left="448" w:right="44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35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IX. Визначення заходів, за допомогою яких здійснюватиметься відстеження результативності дії регуляторного акта</w:t>
      </w:r>
    </w:p>
    <w:p w:rsidR="00F35FD7" w:rsidRPr="00F35FD7" w:rsidRDefault="00F35FD7" w:rsidP="00957CEC">
      <w:pPr>
        <w:widowControl w:val="0"/>
        <w:shd w:val="clear" w:color="auto" w:fill="FFFFFF"/>
        <w:spacing w:after="0" w:line="240" w:lineRule="auto"/>
        <w:ind w:left="450" w:right="4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FD7" w:rsidRPr="00F35FD7" w:rsidRDefault="00F35FD7" w:rsidP="00F35FD7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n103"/>
      <w:bookmarkEnd w:id="11"/>
      <w:r w:rsidRPr="00F35FD7">
        <w:rPr>
          <w:rFonts w:ascii="Times New Roman" w:eastAsia="Times New Roman" w:hAnsi="Times New Roman" w:cs="Times New Roman"/>
          <w:sz w:val="28"/>
          <w:szCs w:val="28"/>
        </w:rPr>
        <w:t>Базове відстеження результативності регуляторного акта буде здійснюватися через рік після набрання чинності цим регуляторним актом шляхом використання даних, що містяться в електронній системі закупівель, їх аналізу, систематизації.</w:t>
      </w:r>
    </w:p>
    <w:p w:rsidR="00F35FD7" w:rsidRPr="00F35FD7" w:rsidRDefault="00F35FD7" w:rsidP="00F35FD7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Повторне відстеження регуляторного акта здійснюється в межах строків, установлених статтею 10 Закону України “Про засади державної регуляторної політики у сфері господарської діяльності”, – через два роки після набрання чинності актом або більшістю його положень. </w:t>
      </w:r>
    </w:p>
    <w:p w:rsidR="00F35FD7" w:rsidRPr="00F35FD7" w:rsidRDefault="00F35FD7" w:rsidP="00F35FD7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процесі відстеження встановлюється кількісне та якісне значення для кожного показника результативності, визначеного під час проведення аналізу впливу регуляторного акта. </w:t>
      </w:r>
    </w:p>
    <w:p w:rsidR="00F35FD7" w:rsidRPr="00F35FD7" w:rsidRDefault="00F35FD7" w:rsidP="00F35FD7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Базове та повторне відстеження здійснюється на основі показників і даних, визначених під час проведення аналізу впливу регуляторного акта. </w:t>
      </w:r>
    </w:p>
    <w:p w:rsidR="00F35FD7" w:rsidRPr="00F35FD7" w:rsidRDefault="00F35FD7" w:rsidP="00F35FD7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відстежен</w:t>
      </w:r>
      <w:r w:rsidR="003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здійснюватис</w:t>
      </w:r>
      <w:r w:rsidR="003E04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статистичним методом за допомогою статистичних показників. Для відстеження результативності проекту акта будуть використані дані електронної системи закупівель.</w:t>
      </w:r>
    </w:p>
    <w:p w:rsidR="00F35FD7" w:rsidRPr="00F35FD7" w:rsidRDefault="00F35FD7" w:rsidP="00F35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регуляторного впливу підготовлено департаментом регулювання публічних закупівель Міністерства економічного розвитку і торгівлі України.</w:t>
      </w:r>
    </w:p>
    <w:p w:rsidR="00F30795" w:rsidRPr="00F30795" w:rsidRDefault="00F30795" w:rsidP="00F307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30795" w:rsidRPr="00F30795" w:rsidRDefault="00F30795" w:rsidP="00F307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30795" w:rsidRPr="00F30795" w:rsidRDefault="00F30795" w:rsidP="00F307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>Перший віце-прем’єр-міністр України –</w:t>
      </w:r>
    </w:p>
    <w:p w:rsidR="00F30795" w:rsidRPr="00F30795" w:rsidRDefault="00F30795" w:rsidP="00F307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>Міністр економічного розвитку</w:t>
      </w:r>
    </w:p>
    <w:p w:rsidR="00F30795" w:rsidRDefault="00F30795" w:rsidP="00E633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>і торгівлі України</w:t>
      </w:r>
      <w:r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F30795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    С. І. Кубів</w:t>
      </w:r>
      <w:r w:rsidR="00A6419B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</w:p>
    <w:p w:rsidR="003E04EA" w:rsidRDefault="00A6419B" w:rsidP="00E633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___ ______________2018 р.</w:t>
      </w:r>
    </w:p>
    <w:p w:rsidR="000D1572" w:rsidRPr="000D1572" w:rsidRDefault="003E04EA" w:rsidP="000D157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br w:type="column"/>
      </w:r>
      <w:r w:rsidR="000D1572" w:rsidRPr="000D1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1</w:t>
      </w:r>
    </w:p>
    <w:p w:rsidR="00176EF2" w:rsidRDefault="00176EF2" w:rsidP="00A079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2073" w:rsidRDefault="00CF2073" w:rsidP="00A079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572" w:rsidRPr="000D1572" w:rsidRDefault="000D1572" w:rsidP="00A079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Розрахунок оцінки впливу на сферу інтересів держави</w:t>
      </w:r>
    </w:p>
    <w:p w:rsidR="000D1572" w:rsidRDefault="000D1572" w:rsidP="00A079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0D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замовників відповідно до пункту 9 частини першої статті 1 Закону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для яких здійснення закупівель за допомогою ЦЗО не є </w:t>
      </w:r>
      <w:r w:rsidR="00BE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обов’язковим</w:t>
      </w:r>
      <w:r w:rsidRPr="000D1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F2073" w:rsidRPr="000D1572" w:rsidRDefault="00CF2073" w:rsidP="00A079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41"/>
        <w:gridCol w:w="1536"/>
        <w:gridCol w:w="1559"/>
        <w:gridCol w:w="1559"/>
        <w:gridCol w:w="1665"/>
      </w:tblGrid>
      <w:tr w:rsidR="00A31F38" w:rsidRPr="00A31F38" w:rsidTr="00CF2073">
        <w:trPr>
          <w:trHeight w:val="57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Етапи </w:t>
            </w:r>
          </w:p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(дії, які вчиняє замовник)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Затрати замовника під час проведення процедури закупівлі</w:t>
            </w:r>
            <w:r w:rsidR="00BE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допомоги ЦЗО</w:t>
            </w: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(години)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573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Затрати замовника під час проведення процедури закупівлі </w:t>
            </w:r>
            <w:r w:rsidR="00BE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допомоги ЦЗО</w:t>
            </w:r>
          </w:p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(гривні)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BE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Затрати замовника під час проведення закупівлі за </w:t>
            </w:r>
            <w:r w:rsidR="00BE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допомогою ЦЗО</w:t>
            </w: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(години)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573" w:rsidRDefault="00A31F38" w:rsidP="00BE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Затрати замовника під час проведення закупівлі за </w:t>
            </w:r>
            <w:r w:rsidR="00BE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допомогою ЦЗО</w:t>
            </w:r>
          </w:p>
          <w:p w:rsidR="00A31F38" w:rsidRPr="00A31F38" w:rsidRDefault="00A31F38" w:rsidP="00BE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(гривні)</w:t>
            </w:r>
          </w:p>
        </w:tc>
      </w:tr>
      <w:tr w:rsidR="00A31F38" w:rsidRPr="00A31F38" w:rsidTr="00CF2073">
        <w:trPr>
          <w:trHeight w:val="23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073" w:rsidRDefault="00A31F38" w:rsidP="00A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інформації про закупівлю до річного плану</w:t>
            </w:r>
          </w:p>
          <w:p w:rsidR="00A31F38" w:rsidRPr="00A31F38" w:rsidRDefault="00A31F38" w:rsidP="00A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A31F38" w:rsidRPr="00A31F38" w:rsidTr="00CF2073">
        <w:trPr>
          <w:trHeight w:val="54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B02" w:rsidRDefault="00A31F38" w:rsidP="001F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тендерної документації</w:t>
            </w:r>
            <w:r w:rsidR="001F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(ТД); </w:t>
            </w:r>
          </w:p>
          <w:p w:rsidR="00A31F38" w:rsidRPr="00A31F38" w:rsidRDefault="001F1B02" w:rsidP="001F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здійснення закупівель через ЦЗО, замовник надає необхідну інформацію, а підготовка ТД здійснюється ЦЗО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89,64</w:t>
            </w:r>
          </w:p>
        </w:tc>
      </w:tr>
      <w:tr w:rsidR="00A31F38" w:rsidRPr="00A31F38" w:rsidTr="00CF2073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оголошення про закупівлю та ТД в електронній системі закупівель (ЕСЗ)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1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073" w:rsidRPr="00A31F38" w:rsidRDefault="00A31F38" w:rsidP="00A31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Надання відповіді на запитання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194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073" w:rsidRPr="00A31F38" w:rsidRDefault="00A31F38" w:rsidP="00A31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Внесення змін в ТД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31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073" w:rsidRPr="00A31F38" w:rsidRDefault="00A31F38" w:rsidP="00A31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Перезавантаження оновленої ТД в ЕСЗ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52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1F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розгляду однієї ТП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34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1F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рішення про намір укласти договір про закупівлю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476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Надання пояснень (документів) органу оскарження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54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1F1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Прийняття рішення про відміну рішення про намір укласти договір по закупівлю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57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38" w:rsidRPr="00A31F38" w:rsidRDefault="00A31F38" w:rsidP="001F1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Повторне проведення розгляду однієї ТП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38" w:rsidRPr="00A31F38" w:rsidRDefault="001F1B0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16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38" w:rsidRPr="00A31F38" w:rsidRDefault="00A31F38" w:rsidP="00CF20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договору про закупівлю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38" w:rsidRPr="00A31F38" w:rsidRDefault="001F1B02" w:rsidP="00CF2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38" w:rsidRPr="00A31F38" w:rsidRDefault="001F1B02" w:rsidP="00CF2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38" w:rsidRPr="00A31F38" w:rsidRDefault="001F1B02" w:rsidP="00CF2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38" w:rsidRPr="00A31F38" w:rsidRDefault="009E545C" w:rsidP="00CF2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44,82</w:t>
            </w:r>
          </w:p>
        </w:tc>
      </w:tr>
      <w:tr w:rsidR="00A31F38" w:rsidRPr="00A31F38" w:rsidTr="00CF2073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CF20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Оприлюднення в ЕСЗ оголошення з відомостями про укладений договір по </w:t>
            </w:r>
            <w:r w:rsidR="009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закупівлю</w:t>
            </w: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9E545C" w:rsidP="00CF2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9E545C" w:rsidP="00CF2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9E545C" w:rsidP="00CF2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9E545C" w:rsidP="00CF2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379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Розміщення в ЕСЗ повідомлення про внесення змін до </w:t>
            </w:r>
            <w:r w:rsidR="009E5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договору про закупівлю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31F38" w:rsidRPr="00A31F38" w:rsidRDefault="002C42E5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31F38" w:rsidRPr="00A31F38" w:rsidRDefault="002C42E5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300"/>
        </w:trPr>
        <w:tc>
          <w:tcPr>
            <w:tcW w:w="3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звіту про виконання договору про </w:t>
            </w:r>
            <w:r w:rsidR="002C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закупівлю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A31F38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2C42E5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38" w:rsidRPr="00A31F38" w:rsidRDefault="002C42E5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F38" w:rsidRPr="00A31F38" w:rsidTr="00CF2073">
        <w:trPr>
          <w:trHeight w:val="184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A31F38" w:rsidRPr="00A31F38" w:rsidRDefault="00CA2D60" w:rsidP="00A3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A31F38" w:rsidRPr="00A31F38" w:rsidRDefault="00A079B7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A31F38" w:rsidRPr="00A31F38" w:rsidRDefault="00A079B7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A31F38" w:rsidRPr="00A31F38" w:rsidRDefault="00A079B7" w:rsidP="00A079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79B7">
              <w:rPr>
                <w:rFonts w:ascii="Times New Roman" w:hAnsi="Times New Roman" w:cs="Times New Roman"/>
                <w:b/>
                <w:bCs/>
                <w:color w:val="000000"/>
              </w:rPr>
              <w:t>6,5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A31F38" w:rsidRPr="00A31F38" w:rsidRDefault="00A079B7" w:rsidP="00A0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145,66</w:t>
            </w:r>
          </w:p>
        </w:tc>
      </w:tr>
      <w:tr w:rsidR="00176EF2" w:rsidRPr="00A31F38" w:rsidTr="00CF2073">
        <w:trPr>
          <w:trHeight w:val="184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176EF2" w:rsidRDefault="00176EF2" w:rsidP="00A3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Винагорода ЦЗО </w:t>
            </w:r>
            <w:r w:rsidRPr="0017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організацію та проведення тендеру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якщо</w:t>
            </w:r>
            <w:r w:rsidR="0037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Default="00176EF2" w:rsidP="00A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A079B7" w:rsidRDefault="00176EF2" w:rsidP="00A0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176EF2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A079B7" w:rsidRDefault="00176EF2" w:rsidP="00A0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76EF2" w:rsidRPr="00A31F38" w:rsidTr="00CF2073">
        <w:trPr>
          <w:trHeight w:val="184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176EF2" w:rsidRDefault="00176EF2" w:rsidP="0017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3% від укладеного договору, у разі коли вартість закупівлі становить не більше як 10 млн. гривень</w:t>
            </w:r>
            <w:r w:rsidR="0037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176EF2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A079B7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76EF2" w:rsidRPr="00A31F38" w:rsidTr="00CF2073">
        <w:trPr>
          <w:trHeight w:val="184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176EF2" w:rsidRDefault="00176EF2" w:rsidP="0017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2% від укладеного договору, у разі коли вартість закупівлі становить не більше як 50 млн. гривень</w:t>
            </w:r>
            <w:r w:rsidR="0037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A079B7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176EF2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A079B7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76EF2" w:rsidRPr="00A31F38" w:rsidTr="00CF2073">
        <w:trPr>
          <w:trHeight w:val="184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176EF2" w:rsidRDefault="00176EF2" w:rsidP="0017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1% від укладеного договору, у разі коли вартість закупівлі становить не більше як 100 млн. гривень</w:t>
            </w:r>
            <w:r w:rsidR="0037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A079B7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176EF2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A079B7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76EF2" w:rsidRPr="00A31F38" w:rsidTr="00CF2073">
        <w:trPr>
          <w:trHeight w:val="184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176EF2" w:rsidRDefault="00176EF2" w:rsidP="0017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0,5% від укладеного договору, у разі коли вартість закупівлі стано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вить більше як 100 млн. гривень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A079B7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176EF2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176EF2" w:rsidRPr="00A079B7" w:rsidRDefault="00176EF2" w:rsidP="0017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176EF2" w:rsidRDefault="00176EF2" w:rsidP="00E633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42CF" w:rsidRDefault="001242CF" w:rsidP="00E633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42CF" w:rsidRPr="000D1572" w:rsidRDefault="001242CF" w:rsidP="001242CF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br w:type="column"/>
      </w:r>
      <w:r w:rsidRPr="000D1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</w:t>
      </w:r>
      <w:r w:rsidR="00532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242CF" w:rsidRDefault="001242CF" w:rsidP="00124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42CF" w:rsidRPr="000D1572" w:rsidRDefault="001242CF" w:rsidP="00124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Розрахунок оцінки впливу на сферу інтересів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суб’єктів господарювання</w:t>
      </w:r>
    </w:p>
    <w:p w:rsidR="001242CF" w:rsidRDefault="001242CF" w:rsidP="00124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0D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замовників відповідно до пункту 9 частини першої статті 1 Закону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для яких здійснення закупівель за допомогою ЦЗО є обов’язковим</w:t>
      </w:r>
      <w:r w:rsidRPr="000D1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C2EE5" w:rsidRDefault="00CC2EE5" w:rsidP="00124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1418"/>
        <w:gridCol w:w="1559"/>
        <w:gridCol w:w="1559"/>
        <w:gridCol w:w="1665"/>
      </w:tblGrid>
      <w:tr w:rsidR="003C6EDB" w:rsidRPr="00A31F38" w:rsidTr="009C7F19">
        <w:trPr>
          <w:trHeight w:val="5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Етапи </w:t>
            </w:r>
          </w:p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(дії, які вчиняє замовник)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Затрати замовника під час проведення процедури закупівлі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допомоги ЦЗО</w:t>
            </w: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(години)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Затрати замовника під час проведення процедури закупівлі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допомоги ЦЗО</w:t>
            </w:r>
          </w:p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(гривні)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Затрати замовника під час проведення закупівлі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допомогою ЦЗО</w:t>
            </w: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(години)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Затрати замовника під час проведення закупівлі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допомогою ЦЗО</w:t>
            </w:r>
          </w:p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(гривні)</w:t>
            </w:r>
          </w:p>
        </w:tc>
      </w:tr>
      <w:tr w:rsidR="003C6EDB" w:rsidRPr="00A31F38" w:rsidTr="009C7F19">
        <w:trPr>
          <w:trHeight w:val="2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Внесення інформації про закупівлю до річного плану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3C6EDB" w:rsidRPr="00A31F38" w:rsidTr="009C7F19">
        <w:trPr>
          <w:trHeight w:val="5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тендерної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(ТД); </w:t>
            </w:r>
          </w:p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здійснення закупівель через ЦЗО, замовник надає необхідну інформацію, а підготовка ТД здійснюється ЦЗО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89,64</w:t>
            </w:r>
          </w:p>
        </w:tc>
      </w:tr>
      <w:tr w:rsidR="003C6EDB" w:rsidRPr="00A31F38" w:rsidTr="009C7F19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оголошення про закупівлю та ТД в електронній системі закупівель (ЕСЗ)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9C7F19">
        <w:trPr>
          <w:trHeight w:val="1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Надання відповіді на запитання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9C7F19">
        <w:trPr>
          <w:trHeight w:val="19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Внесення змін в ТД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9C7F19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Перезавантаження оновленої ТД в ЕСЗ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9C7F19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розгляду однієї ТП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9C7F19">
        <w:trPr>
          <w:trHeight w:val="3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рішення про намір укласти договір про закупівлю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9C7F19">
        <w:trPr>
          <w:trHeight w:val="47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Надання пояснень (документів) органу оскарження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9C7F19">
        <w:trPr>
          <w:trHeight w:val="5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Прийняття рішення про відміну рішення про намір укласти договір по закупівлю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9C7F19">
        <w:trPr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Повторне проведення розгляду однієї ТП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9C7F19">
        <w:trPr>
          <w:trHeight w:val="16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договору про закупівлю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44,82</w:t>
            </w:r>
          </w:p>
        </w:tc>
      </w:tr>
      <w:tr w:rsidR="003C6EDB" w:rsidRPr="00A31F38" w:rsidTr="0088209F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Оприлюднення в ЕСЗ оголошення з відомостями про укладений договір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закупівлю</w:t>
            </w: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88209F">
        <w:trPr>
          <w:trHeight w:val="379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Розміщення в ЕСЗ повідомлення про внесення змін до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договору про закупівлю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88209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звіту про виконання договору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EDB" w:rsidRPr="00A31F38" w:rsidTr="009C7F19">
        <w:trPr>
          <w:trHeight w:val="184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C6EDB" w:rsidRPr="00A31F38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C6EDB" w:rsidRPr="00A31F38" w:rsidRDefault="003C6EDB" w:rsidP="009C7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79B7">
              <w:rPr>
                <w:rFonts w:ascii="Times New Roman" w:hAnsi="Times New Roman" w:cs="Times New Roman"/>
                <w:b/>
                <w:bCs/>
                <w:color w:val="000000"/>
              </w:rPr>
              <w:t>6,5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C6EDB" w:rsidRPr="00A31F38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145,66</w:t>
            </w:r>
          </w:p>
        </w:tc>
      </w:tr>
      <w:tr w:rsidR="003C6EDB" w:rsidRPr="00A31F38" w:rsidTr="009C7F19">
        <w:trPr>
          <w:trHeight w:val="184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C6EDB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Винагорода ЦЗО </w:t>
            </w:r>
            <w:r w:rsidRPr="0017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організацію та проведення тендеру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якщо</w:t>
            </w:r>
            <w:r w:rsidR="0037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A079B7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176EF2" w:rsidRDefault="00FF1107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A079B7" w:rsidRDefault="00FF1107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C6EDB" w:rsidRPr="00A31F38" w:rsidTr="009C7F19">
        <w:trPr>
          <w:trHeight w:val="184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C6EDB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3% від укладеного договору, у разі коли вартість закупівлі становить не більше як 10 млн. гривень</w:t>
            </w:r>
            <w:r w:rsidR="0037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176EF2" w:rsidRDefault="00FF1107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A079B7" w:rsidRDefault="00FF1107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C6EDB" w:rsidRPr="00A31F38" w:rsidTr="009C7F19">
        <w:trPr>
          <w:trHeight w:val="184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C6EDB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2% від укладеного договору, у разі коли вартість закупівлі становить не більше як 50 млн. гривень</w:t>
            </w:r>
            <w:r w:rsidR="0037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A079B7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176EF2" w:rsidRDefault="00FF1107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A079B7" w:rsidRDefault="00FF1107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C6EDB" w:rsidRPr="00A31F38" w:rsidTr="009C7F19">
        <w:trPr>
          <w:trHeight w:val="184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C6EDB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1% від укладеного договору, у разі коли вартість закупівлі становить не більше як 100 млн. гривень</w:t>
            </w:r>
            <w:r w:rsidR="0037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A079B7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176EF2" w:rsidRDefault="00FF1107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A079B7" w:rsidRDefault="00FF1107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C6EDB" w:rsidRPr="00A31F38" w:rsidTr="009C7F19">
        <w:trPr>
          <w:trHeight w:val="184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3C6EDB" w:rsidRDefault="003C6EDB" w:rsidP="009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0,5% від укладеного договору, у разі коли вартість закупівлі стано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вить більше як 100 млн. гривень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A079B7" w:rsidRDefault="003C6EDB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176EF2" w:rsidRDefault="00FF1107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C6EDB" w:rsidRPr="00A079B7" w:rsidRDefault="00FF1107" w:rsidP="009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242CF" w:rsidRDefault="001242CF" w:rsidP="00E633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32404" w:rsidRDefault="00532404" w:rsidP="00E633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978ED" w:rsidRPr="002978ED" w:rsidRDefault="00532404" w:rsidP="002978ED">
      <w:pPr>
        <w:spacing w:line="336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br w:type="column"/>
      </w:r>
      <w:r w:rsidR="002978ED" w:rsidRPr="00297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</w:t>
      </w:r>
      <w:r w:rsidR="008820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978ED" w:rsidRDefault="002978ED" w:rsidP="0029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Розрахунок оцінки впливу на сферу інтересів суб’єктів господарювання (</w:t>
      </w:r>
      <w:r w:rsidRPr="0029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учасників </w:t>
      </w:r>
      <w:r w:rsidRPr="00297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відповідно до пункту 35 частини першої статті 1)</w:t>
      </w:r>
    </w:p>
    <w:p w:rsidR="0088209F" w:rsidRPr="002978ED" w:rsidRDefault="0088209F" w:rsidP="0029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60" w:type="dxa"/>
        <w:tblInd w:w="93" w:type="dxa"/>
        <w:tblLook w:val="0000" w:firstRow="0" w:lastRow="0" w:firstColumn="0" w:lastColumn="0" w:noHBand="0" w:noVBand="0"/>
      </w:tblPr>
      <w:tblGrid>
        <w:gridCol w:w="3025"/>
        <w:gridCol w:w="1683"/>
        <w:gridCol w:w="1684"/>
        <w:gridCol w:w="1684"/>
        <w:gridCol w:w="1684"/>
      </w:tblGrid>
      <w:tr w:rsidR="002978ED" w:rsidRPr="002978ED" w:rsidTr="009C7F19">
        <w:trPr>
          <w:trHeight w:val="570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Етапи </w:t>
            </w:r>
          </w:p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(дії, які вчиняє учасник)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Затрати учасника під час проведення процедури закупівлі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замовником без допомоги ЦЗО </w:t>
            </w: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(години)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Затрати учасника під час проведення процедури закупівлі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замовником без допомоги ЦЗО</w:t>
            </w:r>
          </w:p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(гривні)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Затрати учасника під час проведення закупівлі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ЦЗО для інших замовників</w:t>
            </w: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(години)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Затрати учасника під час проведення закупівлі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ЦЗО для інших замовників</w:t>
            </w: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(гривні)</w:t>
            </w:r>
          </w:p>
        </w:tc>
      </w:tr>
      <w:tr w:rsidR="002978ED" w:rsidRPr="002978ED" w:rsidTr="009C7F19">
        <w:trPr>
          <w:trHeight w:val="371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в електронній системі закупівель (ЕСЗ) річних планів закупівель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</w:tr>
      <w:tr w:rsidR="002978ED" w:rsidRPr="002978ED" w:rsidTr="009C7F19">
        <w:trPr>
          <w:trHeight w:val="340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тендерної пропозиції (ТП)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179,28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179,28</w:t>
            </w:r>
          </w:p>
        </w:tc>
      </w:tr>
      <w:tr w:rsidR="002978ED" w:rsidRPr="002978ED" w:rsidTr="009C7F19">
        <w:trPr>
          <w:trHeight w:val="335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ТП в систему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</w:tr>
      <w:tr w:rsidR="002978ED" w:rsidRPr="002978ED" w:rsidTr="009C7F19">
        <w:trPr>
          <w:trHeight w:val="345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Запитання стосовно умов тендерної документації (ТД) в ЕСЗ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2978ED" w:rsidRPr="002978ED" w:rsidTr="009C7F19">
        <w:trPr>
          <w:trHeight w:val="342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Внесення змін до</w:t>
            </w:r>
            <w:r w:rsidR="00A00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</w:tr>
      <w:tr w:rsidR="002978ED" w:rsidRPr="002978ED" w:rsidTr="009C7F19">
        <w:trPr>
          <w:trHeight w:val="337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Перезавантаження ТП в ЕСЗ 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2978ED" w:rsidRPr="002978ED" w:rsidTr="009C7F19">
        <w:trPr>
          <w:trHeight w:val="333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2978ED" w:rsidRPr="002978ED" w:rsidTr="009C7F19">
        <w:trPr>
          <w:trHeight w:val="344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довідок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89,64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89,64</w:t>
            </w:r>
          </w:p>
        </w:tc>
      </w:tr>
      <w:tr w:rsidR="002978ED" w:rsidRPr="002978ED" w:rsidTr="009C7F19">
        <w:trPr>
          <w:trHeight w:val="339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довідок замовнику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44,82</w:t>
            </w:r>
          </w:p>
        </w:tc>
      </w:tr>
      <w:tr w:rsidR="002978ED" w:rsidRPr="002978ED" w:rsidTr="009C7F19">
        <w:trPr>
          <w:trHeight w:val="515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Оформлення та подання скарги до органу оскарження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179,28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112,05</w:t>
            </w:r>
          </w:p>
        </w:tc>
      </w:tr>
      <w:tr w:rsidR="002978ED" w:rsidRPr="002978ED" w:rsidTr="009C7F19">
        <w:trPr>
          <w:trHeight w:val="570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Участь в засіданні органу оскарження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44,82</w:t>
            </w:r>
          </w:p>
        </w:tc>
      </w:tr>
      <w:tr w:rsidR="002978ED" w:rsidRPr="002978ED" w:rsidTr="009C7F19">
        <w:trPr>
          <w:trHeight w:val="295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BE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договору</w:t>
            </w:r>
            <w:r w:rsidR="00BE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закупівлю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44,82</w:t>
            </w:r>
          </w:p>
        </w:tc>
      </w:tr>
      <w:tr w:rsidR="002978ED" w:rsidRPr="002978ED" w:rsidTr="009C7F19">
        <w:trPr>
          <w:trHeight w:val="570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подання тендерної пропозиції (середня між 30 і 100 неоподаткованих мінімумів)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2978ED" w:rsidRPr="002978ED" w:rsidTr="009C7F19">
        <w:trPr>
          <w:trHeight w:val="570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Тариф за подання скарги (тільки товари і послуги)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5000</w:t>
            </w:r>
          </w:p>
        </w:tc>
      </w:tr>
      <w:tr w:rsidR="002978ED" w:rsidRPr="002978ED" w:rsidTr="0088209F">
        <w:trPr>
          <w:trHeight w:val="345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2978ED" w:rsidRPr="002978ED" w:rsidRDefault="002978ED" w:rsidP="008820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2978ED" w:rsidRPr="002978ED" w:rsidRDefault="0088209F" w:rsidP="008820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88209F" w:rsidRPr="0088209F" w:rsidRDefault="0088209F" w:rsidP="008820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6788,49</w:t>
            </w:r>
          </w:p>
          <w:p w:rsidR="002978ED" w:rsidRPr="002978ED" w:rsidRDefault="002978ED" w:rsidP="008820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2978ED" w:rsidRPr="002978ED" w:rsidRDefault="002978ED" w:rsidP="008820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2978ED" w:rsidRPr="002978ED" w:rsidRDefault="002978ED" w:rsidP="0029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6721,26</w:t>
            </w:r>
          </w:p>
        </w:tc>
      </w:tr>
      <w:tr w:rsidR="003756AE" w:rsidRPr="002978ED" w:rsidTr="00CE0355">
        <w:trPr>
          <w:trHeight w:val="345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756AE" w:rsidRPr="003756AE" w:rsidRDefault="003756AE" w:rsidP="00375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Винагорода ЦЗО за організацію та </w:t>
            </w:r>
            <w:r w:rsidRPr="0037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проведення тендеру, якщо: 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A079B7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176EF2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A079B7" w:rsidRDefault="003756AE" w:rsidP="003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756AE" w:rsidRPr="002978ED" w:rsidTr="00CE0355">
        <w:trPr>
          <w:trHeight w:val="345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756AE" w:rsidRPr="003756AE" w:rsidRDefault="003756AE" w:rsidP="00375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3% від укладеного договору, у разі коли вартість закупівлі становить не більше як 10 млн. гривень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176EF2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A079B7" w:rsidRDefault="003756AE" w:rsidP="003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756AE" w:rsidRPr="002978ED" w:rsidTr="00CE0355">
        <w:trPr>
          <w:trHeight w:val="345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756AE" w:rsidRPr="003756AE" w:rsidRDefault="003756AE" w:rsidP="00375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 від укладеного договору, у разі коли вартість закупівлі становить не більше як 50 млн. гривень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A079B7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176EF2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A079B7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756AE" w:rsidRPr="002978ED" w:rsidTr="00CE0355">
        <w:trPr>
          <w:trHeight w:val="345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756AE" w:rsidRPr="003756AE" w:rsidRDefault="003756AE" w:rsidP="00375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1% від укладеного договору, у разі коли вартість закупівлі становить не більше як 100 млн. гривень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A079B7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176EF2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A079B7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756AE" w:rsidRPr="002978ED" w:rsidTr="00CE0355">
        <w:trPr>
          <w:trHeight w:val="345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3756AE" w:rsidRPr="003756AE" w:rsidRDefault="003756AE" w:rsidP="00375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0,5% від укладеного договору, у разі коли вартість закупівлі становить більше як 100 млн. гривень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A079B7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176EF2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3756AE" w:rsidRPr="00A079B7" w:rsidRDefault="003756AE" w:rsidP="00375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32404" w:rsidRDefault="00532404" w:rsidP="00E633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1697D" w:rsidRDefault="0041697D" w:rsidP="008D6653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41697D" w:rsidSect="00F30795">
      <w:headerReference w:type="default" r:id="rId8"/>
      <w:footerReference w:type="default" r:id="rId9"/>
      <w:pgSz w:w="11906" w:h="16838"/>
      <w:pgMar w:top="851" w:right="851" w:bottom="1276" w:left="1701" w:header="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D5" w:rsidRDefault="001442D5">
      <w:pPr>
        <w:spacing w:after="0" w:line="240" w:lineRule="auto"/>
      </w:pPr>
      <w:r>
        <w:separator/>
      </w:r>
    </w:p>
  </w:endnote>
  <w:endnote w:type="continuationSeparator" w:id="0">
    <w:p w:rsidR="001442D5" w:rsidRDefault="0014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78" w:rsidRDefault="00402F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D5" w:rsidRDefault="001442D5">
      <w:pPr>
        <w:spacing w:after="0" w:line="240" w:lineRule="auto"/>
      </w:pPr>
      <w:r>
        <w:separator/>
      </w:r>
    </w:p>
  </w:footnote>
  <w:footnote w:type="continuationSeparator" w:id="0">
    <w:p w:rsidR="001442D5" w:rsidRDefault="0014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78" w:rsidRDefault="00402F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708"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2739"/>
    <w:multiLevelType w:val="multilevel"/>
    <w:tmpl w:val="FDA8BF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9765A6"/>
    <w:multiLevelType w:val="multilevel"/>
    <w:tmpl w:val="E04C40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CB3ABC"/>
    <w:multiLevelType w:val="multilevel"/>
    <w:tmpl w:val="DD2200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6E1327"/>
    <w:multiLevelType w:val="multilevel"/>
    <w:tmpl w:val="F86A8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78"/>
    <w:rsid w:val="00013AC0"/>
    <w:rsid w:val="000605F7"/>
    <w:rsid w:val="00062953"/>
    <w:rsid w:val="00074075"/>
    <w:rsid w:val="000B6E8C"/>
    <w:rsid w:val="000C439D"/>
    <w:rsid w:val="000D1572"/>
    <w:rsid w:val="000F711B"/>
    <w:rsid w:val="00105A78"/>
    <w:rsid w:val="001242CF"/>
    <w:rsid w:val="001265D6"/>
    <w:rsid w:val="001442D5"/>
    <w:rsid w:val="00146FCF"/>
    <w:rsid w:val="0015593C"/>
    <w:rsid w:val="00156992"/>
    <w:rsid w:val="00176EF2"/>
    <w:rsid w:val="001B0320"/>
    <w:rsid w:val="001C27F3"/>
    <w:rsid w:val="001F1B02"/>
    <w:rsid w:val="00214FB9"/>
    <w:rsid w:val="00217915"/>
    <w:rsid w:val="00245E25"/>
    <w:rsid w:val="002503CB"/>
    <w:rsid w:val="00257560"/>
    <w:rsid w:val="00257DC7"/>
    <w:rsid w:val="002630B5"/>
    <w:rsid w:val="0029257B"/>
    <w:rsid w:val="002978ED"/>
    <w:rsid w:val="002B19EE"/>
    <w:rsid w:val="002C42E5"/>
    <w:rsid w:val="00321A5C"/>
    <w:rsid w:val="00322A57"/>
    <w:rsid w:val="00345749"/>
    <w:rsid w:val="00355B91"/>
    <w:rsid w:val="003743A9"/>
    <w:rsid w:val="003756AE"/>
    <w:rsid w:val="003773BE"/>
    <w:rsid w:val="00380230"/>
    <w:rsid w:val="0039439F"/>
    <w:rsid w:val="003A29F7"/>
    <w:rsid w:val="003A42A3"/>
    <w:rsid w:val="003C6EDB"/>
    <w:rsid w:val="003E04EA"/>
    <w:rsid w:val="003E1696"/>
    <w:rsid w:val="003E4D27"/>
    <w:rsid w:val="003E6E89"/>
    <w:rsid w:val="00402F78"/>
    <w:rsid w:val="0041081E"/>
    <w:rsid w:val="0041697D"/>
    <w:rsid w:val="00421BDC"/>
    <w:rsid w:val="0042306A"/>
    <w:rsid w:val="00450F92"/>
    <w:rsid w:val="00482082"/>
    <w:rsid w:val="004842D5"/>
    <w:rsid w:val="00484433"/>
    <w:rsid w:val="004A3DA1"/>
    <w:rsid w:val="004D3F1D"/>
    <w:rsid w:val="004E2087"/>
    <w:rsid w:val="00504285"/>
    <w:rsid w:val="00532404"/>
    <w:rsid w:val="005C2E86"/>
    <w:rsid w:val="005F07FE"/>
    <w:rsid w:val="00600FBA"/>
    <w:rsid w:val="0062438B"/>
    <w:rsid w:val="00646251"/>
    <w:rsid w:val="00694959"/>
    <w:rsid w:val="00694BBD"/>
    <w:rsid w:val="006A070F"/>
    <w:rsid w:val="006A4D39"/>
    <w:rsid w:val="006A6B69"/>
    <w:rsid w:val="006B151D"/>
    <w:rsid w:val="006C393B"/>
    <w:rsid w:val="006E3206"/>
    <w:rsid w:val="006F2DA7"/>
    <w:rsid w:val="006F51D5"/>
    <w:rsid w:val="00710358"/>
    <w:rsid w:val="007405A3"/>
    <w:rsid w:val="00742837"/>
    <w:rsid w:val="00742D69"/>
    <w:rsid w:val="0074481A"/>
    <w:rsid w:val="007627D5"/>
    <w:rsid w:val="00776D58"/>
    <w:rsid w:val="0078322A"/>
    <w:rsid w:val="007C1148"/>
    <w:rsid w:val="007C6781"/>
    <w:rsid w:val="007D67A5"/>
    <w:rsid w:val="007E6661"/>
    <w:rsid w:val="00815D44"/>
    <w:rsid w:val="00833904"/>
    <w:rsid w:val="00841817"/>
    <w:rsid w:val="0088209F"/>
    <w:rsid w:val="00887EF4"/>
    <w:rsid w:val="008B3BCB"/>
    <w:rsid w:val="008C2E10"/>
    <w:rsid w:val="008C678D"/>
    <w:rsid w:val="008D6653"/>
    <w:rsid w:val="008E230D"/>
    <w:rsid w:val="008E5903"/>
    <w:rsid w:val="008E6047"/>
    <w:rsid w:val="00902C9C"/>
    <w:rsid w:val="0091356A"/>
    <w:rsid w:val="009275A8"/>
    <w:rsid w:val="009562E4"/>
    <w:rsid w:val="00957CEC"/>
    <w:rsid w:val="00973E94"/>
    <w:rsid w:val="00987F60"/>
    <w:rsid w:val="00990DFD"/>
    <w:rsid w:val="009A5E27"/>
    <w:rsid w:val="009B6098"/>
    <w:rsid w:val="009C1978"/>
    <w:rsid w:val="009C7F19"/>
    <w:rsid w:val="009E545C"/>
    <w:rsid w:val="00A0099F"/>
    <w:rsid w:val="00A079B7"/>
    <w:rsid w:val="00A31F38"/>
    <w:rsid w:val="00A33BEA"/>
    <w:rsid w:val="00A4607A"/>
    <w:rsid w:val="00A46575"/>
    <w:rsid w:val="00A6419B"/>
    <w:rsid w:val="00A64BD1"/>
    <w:rsid w:val="00A732E1"/>
    <w:rsid w:val="00A7442A"/>
    <w:rsid w:val="00A85B3A"/>
    <w:rsid w:val="00A943E2"/>
    <w:rsid w:val="00AA3586"/>
    <w:rsid w:val="00AB710D"/>
    <w:rsid w:val="00AE7575"/>
    <w:rsid w:val="00AF7047"/>
    <w:rsid w:val="00B07296"/>
    <w:rsid w:val="00B333B9"/>
    <w:rsid w:val="00B54B77"/>
    <w:rsid w:val="00B55245"/>
    <w:rsid w:val="00B63604"/>
    <w:rsid w:val="00B82501"/>
    <w:rsid w:val="00B83010"/>
    <w:rsid w:val="00BD3968"/>
    <w:rsid w:val="00BE2458"/>
    <w:rsid w:val="00BE4573"/>
    <w:rsid w:val="00C0662E"/>
    <w:rsid w:val="00C3297A"/>
    <w:rsid w:val="00C62270"/>
    <w:rsid w:val="00C65894"/>
    <w:rsid w:val="00C679C4"/>
    <w:rsid w:val="00C92957"/>
    <w:rsid w:val="00CA2D60"/>
    <w:rsid w:val="00CB1801"/>
    <w:rsid w:val="00CB7EC3"/>
    <w:rsid w:val="00CC2EE5"/>
    <w:rsid w:val="00CC4746"/>
    <w:rsid w:val="00CD5F85"/>
    <w:rsid w:val="00CE5B55"/>
    <w:rsid w:val="00CF1C15"/>
    <w:rsid w:val="00CF2073"/>
    <w:rsid w:val="00CF55A7"/>
    <w:rsid w:val="00D30E10"/>
    <w:rsid w:val="00D403AF"/>
    <w:rsid w:val="00D50FD5"/>
    <w:rsid w:val="00D60443"/>
    <w:rsid w:val="00D633CA"/>
    <w:rsid w:val="00D642CF"/>
    <w:rsid w:val="00D77B24"/>
    <w:rsid w:val="00DA1AB4"/>
    <w:rsid w:val="00DB479E"/>
    <w:rsid w:val="00DC3DC8"/>
    <w:rsid w:val="00DC402E"/>
    <w:rsid w:val="00DE2656"/>
    <w:rsid w:val="00DE39C1"/>
    <w:rsid w:val="00DE56A8"/>
    <w:rsid w:val="00DF4A7F"/>
    <w:rsid w:val="00DF724C"/>
    <w:rsid w:val="00E20EB5"/>
    <w:rsid w:val="00E422DE"/>
    <w:rsid w:val="00E472DC"/>
    <w:rsid w:val="00E633C3"/>
    <w:rsid w:val="00E65AA9"/>
    <w:rsid w:val="00E80D07"/>
    <w:rsid w:val="00E8187A"/>
    <w:rsid w:val="00E81B38"/>
    <w:rsid w:val="00E81BF4"/>
    <w:rsid w:val="00E97D2B"/>
    <w:rsid w:val="00EB7DFA"/>
    <w:rsid w:val="00EE367C"/>
    <w:rsid w:val="00EE36E0"/>
    <w:rsid w:val="00EF5349"/>
    <w:rsid w:val="00F11DA5"/>
    <w:rsid w:val="00F30795"/>
    <w:rsid w:val="00F317A6"/>
    <w:rsid w:val="00F34CF1"/>
    <w:rsid w:val="00F35FD7"/>
    <w:rsid w:val="00F36A12"/>
    <w:rsid w:val="00F6140E"/>
    <w:rsid w:val="00F77976"/>
    <w:rsid w:val="00FA6058"/>
    <w:rsid w:val="00FC2FDB"/>
    <w:rsid w:val="00FD4E7E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56E4"/>
  <w15:docId w15:val="{C1A8B6CE-8614-49CC-A862-81208AC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697D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B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B15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3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4ADD-D791-409B-A027-8783269A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15634</Words>
  <Characters>8912</Characters>
  <Application>Microsoft Office Word</Application>
  <DocSecurity>0</DocSecurity>
  <Lines>74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Brain</dc:creator>
  <cp:lastModifiedBy>ВОВРАЖЕНЦЕВА Ксенія Петрівна</cp:lastModifiedBy>
  <cp:revision>41</cp:revision>
  <cp:lastPrinted>2018-07-23T14:30:00Z</cp:lastPrinted>
  <dcterms:created xsi:type="dcterms:W3CDTF">2018-07-23T14:06:00Z</dcterms:created>
  <dcterms:modified xsi:type="dcterms:W3CDTF">2018-07-31T10:56:00Z</dcterms:modified>
</cp:coreProperties>
</file>