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10E4" w:rsidRPr="008757A7" w:rsidRDefault="00F410E4" w:rsidP="008F6953">
      <w:pPr>
        <w:pStyle w:val="10"/>
        <w:tabs>
          <w:tab w:val="left" w:pos="2940"/>
          <w:tab w:val="center" w:pos="4904"/>
        </w:tabs>
        <w:jc w:val="center"/>
        <w:rPr>
          <w:lang w:val="uk-UA"/>
        </w:rPr>
      </w:pPr>
      <w:r w:rsidRPr="008757A7">
        <w:rPr>
          <w:b/>
          <w:sz w:val="28"/>
          <w:szCs w:val="28"/>
          <w:lang w:val="uk-UA"/>
        </w:rPr>
        <w:t>Аналіз регуляторного впливу</w:t>
      </w:r>
    </w:p>
    <w:p w:rsidR="00582D23" w:rsidRDefault="008F6953" w:rsidP="008F6953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8757A7">
        <w:rPr>
          <w:b/>
          <w:sz w:val="28"/>
          <w:szCs w:val="28"/>
          <w:lang w:val="uk-UA"/>
        </w:rPr>
        <w:t xml:space="preserve">проекту наказу Міністерства розвитку економіки, торгівлі та сільського господарства України “Про затвердження Порядку знищення, </w:t>
      </w:r>
    </w:p>
    <w:p w:rsidR="00582D23" w:rsidRDefault="008F6953" w:rsidP="008F6953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8757A7">
        <w:rPr>
          <w:b/>
          <w:sz w:val="28"/>
          <w:szCs w:val="28"/>
          <w:lang w:val="uk-UA"/>
        </w:rPr>
        <w:t xml:space="preserve">утилізації кормів, повернення їх в обіг для годівлі тварин </w:t>
      </w:r>
    </w:p>
    <w:p w:rsidR="008F6953" w:rsidRPr="008757A7" w:rsidRDefault="008F6953" w:rsidP="008F6953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8757A7">
        <w:rPr>
          <w:b/>
          <w:sz w:val="28"/>
          <w:szCs w:val="28"/>
          <w:lang w:val="uk-UA"/>
        </w:rPr>
        <w:t>або для інших, ніж годівля тварин, цілей”</w:t>
      </w:r>
    </w:p>
    <w:p w:rsidR="00F410E4" w:rsidRPr="008757A7" w:rsidRDefault="00F410E4" w:rsidP="00331B4A">
      <w:pPr>
        <w:pStyle w:val="10"/>
        <w:tabs>
          <w:tab w:val="left" w:pos="720"/>
        </w:tabs>
        <w:rPr>
          <w:lang w:val="uk-UA"/>
        </w:rPr>
      </w:pPr>
    </w:p>
    <w:p w:rsidR="00F410E4" w:rsidRPr="008757A7" w:rsidRDefault="00F410E4" w:rsidP="00331B4A">
      <w:pPr>
        <w:pStyle w:val="10"/>
        <w:tabs>
          <w:tab w:val="left" w:pos="900"/>
        </w:tabs>
        <w:jc w:val="center"/>
        <w:rPr>
          <w:lang w:val="uk-UA"/>
        </w:rPr>
      </w:pPr>
      <w:r w:rsidRPr="008757A7">
        <w:rPr>
          <w:b/>
          <w:sz w:val="28"/>
          <w:szCs w:val="28"/>
          <w:lang w:val="uk-UA"/>
        </w:rPr>
        <w:t>І. Визначення проблеми</w:t>
      </w:r>
    </w:p>
    <w:p w:rsidR="00F410E4" w:rsidRPr="008757A7" w:rsidRDefault="00F410E4" w:rsidP="00331B4A">
      <w:pPr>
        <w:pStyle w:val="10"/>
        <w:jc w:val="both"/>
        <w:rPr>
          <w:lang w:val="uk-UA"/>
        </w:rPr>
      </w:pPr>
    </w:p>
    <w:p w:rsidR="00106C0D" w:rsidRPr="008757A7" w:rsidRDefault="00EE4685" w:rsidP="00331B4A">
      <w:pPr>
        <w:pStyle w:val="10"/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У даній сфері </w:t>
      </w:r>
      <w:r w:rsidR="0075541B" w:rsidRPr="008757A7">
        <w:rPr>
          <w:sz w:val="28"/>
          <w:szCs w:val="28"/>
          <w:lang w:val="uk-UA"/>
        </w:rPr>
        <w:t xml:space="preserve">правового регулювання діють Закони України </w:t>
      </w:r>
      <w:r w:rsidR="008F6953" w:rsidRPr="008757A7">
        <w:rPr>
          <w:sz w:val="28"/>
          <w:szCs w:val="28"/>
          <w:lang w:val="uk-UA"/>
        </w:rPr>
        <w:t>“</w:t>
      </w:r>
      <w:r w:rsidR="0075541B" w:rsidRPr="008757A7">
        <w:rPr>
          <w:sz w:val="28"/>
          <w:szCs w:val="28"/>
          <w:lang w:val="uk-UA"/>
        </w:rPr>
        <w:t xml:space="preserve">Про державний контроль за дотриманням законодавства про харчові продукти, корми, побічні продукти тваринного походження, </w:t>
      </w:r>
      <w:r w:rsidR="008F6953" w:rsidRPr="008757A7">
        <w:rPr>
          <w:sz w:val="28"/>
          <w:szCs w:val="28"/>
          <w:lang w:val="uk-UA"/>
        </w:rPr>
        <w:t>здоров’я та благополуччя тварин”,</w:t>
      </w:r>
      <w:r w:rsidR="0075541B" w:rsidRPr="008757A7">
        <w:rPr>
          <w:sz w:val="28"/>
          <w:szCs w:val="28"/>
          <w:lang w:val="uk-UA"/>
        </w:rPr>
        <w:t xml:space="preserve"> який визначає правові та організаційні засади державного контролю, що здійснюється з метою перевірки дотримання операторами ринку законодавства про харчові продукти, корми, зд</w:t>
      </w:r>
      <w:r w:rsidR="008F6953" w:rsidRPr="008757A7">
        <w:rPr>
          <w:sz w:val="28"/>
          <w:szCs w:val="28"/>
          <w:lang w:val="uk-UA"/>
        </w:rPr>
        <w:t>оров’я та благополуччя тварин; “</w:t>
      </w:r>
      <w:r w:rsidR="0075541B" w:rsidRPr="008757A7">
        <w:rPr>
          <w:sz w:val="28"/>
          <w:szCs w:val="28"/>
          <w:lang w:val="uk-UA"/>
        </w:rPr>
        <w:t>Про основні засади державного нагляду (контролю) у сфері господарської діяльності</w:t>
      </w:r>
      <w:r w:rsidR="008F6953" w:rsidRPr="008757A7">
        <w:rPr>
          <w:sz w:val="28"/>
          <w:szCs w:val="28"/>
          <w:lang w:val="uk-UA"/>
        </w:rPr>
        <w:t>”,</w:t>
      </w:r>
      <w:r w:rsidR="0075541B" w:rsidRPr="008757A7">
        <w:rPr>
          <w:sz w:val="28"/>
          <w:szCs w:val="28"/>
          <w:lang w:val="uk-UA"/>
        </w:rPr>
        <w:t xml:space="preserve"> який визначає основні принципи і порядок здійснення державного нагляду (контролю) у сфері господарської діяльності, повноваження органів державного нагляду (контролю), їх посадових осіб і права, </w:t>
      </w:r>
      <w:proofErr w:type="spellStart"/>
      <w:r w:rsidR="0075541B" w:rsidRPr="008757A7">
        <w:rPr>
          <w:sz w:val="28"/>
          <w:szCs w:val="28"/>
          <w:lang w:val="uk-UA"/>
        </w:rPr>
        <w:t>обовязки</w:t>
      </w:r>
      <w:proofErr w:type="spellEnd"/>
      <w:r w:rsidR="0075541B" w:rsidRPr="008757A7">
        <w:rPr>
          <w:sz w:val="28"/>
          <w:szCs w:val="28"/>
          <w:lang w:val="uk-UA"/>
        </w:rPr>
        <w:t xml:space="preserve"> та відповідальність </w:t>
      </w:r>
      <w:proofErr w:type="spellStart"/>
      <w:r w:rsidR="0075541B" w:rsidRPr="008757A7">
        <w:rPr>
          <w:sz w:val="28"/>
          <w:szCs w:val="28"/>
          <w:lang w:val="uk-UA"/>
        </w:rPr>
        <w:t>субєктів</w:t>
      </w:r>
      <w:proofErr w:type="spellEnd"/>
      <w:r w:rsidR="0075541B" w:rsidRPr="008757A7">
        <w:rPr>
          <w:sz w:val="28"/>
          <w:szCs w:val="28"/>
          <w:lang w:val="uk-UA"/>
        </w:rPr>
        <w:t xml:space="preserve"> господарювання під час здійснення державного нагляду (контролю); </w:t>
      </w:r>
      <w:r w:rsidR="008F6953" w:rsidRPr="008757A7">
        <w:rPr>
          <w:sz w:val="28"/>
          <w:szCs w:val="28"/>
          <w:lang w:val="uk-UA"/>
        </w:rPr>
        <w:t>“</w:t>
      </w:r>
      <w:r w:rsidRPr="008757A7">
        <w:rPr>
          <w:sz w:val="28"/>
          <w:szCs w:val="28"/>
          <w:lang w:val="uk-UA"/>
        </w:rPr>
        <w:t>Про безпечність та гігієну кормів</w:t>
      </w:r>
      <w:r w:rsidR="00F0217F" w:rsidRPr="008757A7">
        <w:rPr>
          <w:sz w:val="28"/>
          <w:szCs w:val="28"/>
          <w:lang w:val="uk-UA"/>
        </w:rPr>
        <w:t>”</w:t>
      </w:r>
      <w:r w:rsidRPr="008757A7">
        <w:rPr>
          <w:sz w:val="28"/>
          <w:szCs w:val="28"/>
          <w:lang w:val="uk-UA"/>
        </w:rPr>
        <w:t xml:space="preserve"> </w:t>
      </w:r>
      <w:r w:rsidR="0075541B" w:rsidRPr="008757A7">
        <w:rPr>
          <w:sz w:val="28"/>
          <w:szCs w:val="28"/>
          <w:lang w:val="uk-UA"/>
        </w:rPr>
        <w:t>(далі</w:t>
      </w:r>
      <w:r w:rsidR="00F0217F" w:rsidRPr="008757A7">
        <w:rPr>
          <w:sz w:val="28"/>
          <w:szCs w:val="28"/>
          <w:lang w:val="uk-UA"/>
        </w:rPr>
        <w:t xml:space="preserve"> – </w:t>
      </w:r>
      <w:r w:rsidR="0075541B" w:rsidRPr="008757A7">
        <w:rPr>
          <w:sz w:val="28"/>
          <w:szCs w:val="28"/>
          <w:lang w:val="uk-UA"/>
        </w:rPr>
        <w:t>Закон)</w:t>
      </w:r>
      <w:r w:rsidR="00F0217F" w:rsidRPr="008757A7">
        <w:rPr>
          <w:sz w:val="28"/>
          <w:szCs w:val="28"/>
          <w:lang w:val="uk-UA"/>
        </w:rPr>
        <w:t>,</w:t>
      </w:r>
      <w:r w:rsidR="0075541B" w:rsidRPr="008757A7">
        <w:rPr>
          <w:sz w:val="28"/>
          <w:szCs w:val="28"/>
          <w:lang w:val="uk-UA"/>
        </w:rPr>
        <w:t xml:space="preserve"> </w:t>
      </w:r>
      <w:r w:rsidRPr="008757A7">
        <w:rPr>
          <w:sz w:val="28"/>
          <w:szCs w:val="28"/>
          <w:lang w:val="uk-UA"/>
        </w:rPr>
        <w:t xml:space="preserve">який </w:t>
      </w:r>
      <w:r w:rsidR="00106C0D" w:rsidRPr="008757A7">
        <w:rPr>
          <w:sz w:val="28"/>
          <w:szCs w:val="28"/>
          <w:lang w:val="uk-UA"/>
        </w:rPr>
        <w:t>набуває чинності у січні</w:t>
      </w:r>
      <w:r w:rsidR="00F0217F" w:rsidRPr="008757A7">
        <w:rPr>
          <w:sz w:val="28"/>
          <w:szCs w:val="28"/>
          <w:lang w:val="uk-UA"/>
        </w:rPr>
        <w:t> </w:t>
      </w:r>
      <w:r w:rsidR="00106C0D" w:rsidRPr="008757A7">
        <w:rPr>
          <w:sz w:val="28"/>
          <w:szCs w:val="28"/>
          <w:lang w:val="uk-UA"/>
        </w:rPr>
        <w:t xml:space="preserve">2020 року та </w:t>
      </w:r>
      <w:r w:rsidRPr="008757A7">
        <w:rPr>
          <w:sz w:val="28"/>
          <w:szCs w:val="28"/>
          <w:lang w:val="uk-UA"/>
        </w:rPr>
        <w:t>визначає правові та організаційні засади гарантування безпечності кормів у процесі їх виробництва, обігу та використання, зокрема встановлює вимоги щодо гігієни, маркування, пакування та представлення кормів, регулює відповідні суспільні відносини між операторами ринку та органами державної влади</w:t>
      </w:r>
      <w:r w:rsidR="0075541B" w:rsidRPr="008757A7">
        <w:rPr>
          <w:sz w:val="28"/>
          <w:szCs w:val="28"/>
          <w:lang w:val="uk-UA"/>
        </w:rPr>
        <w:t>.</w:t>
      </w:r>
    </w:p>
    <w:p w:rsidR="00906BC7" w:rsidRPr="008757A7" w:rsidRDefault="00A14514" w:rsidP="00906BC7">
      <w:pPr>
        <w:ind w:right="-142"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Проект наказу розроблено </w:t>
      </w:r>
      <w:r w:rsidR="0075541B" w:rsidRPr="008757A7">
        <w:rPr>
          <w:sz w:val="28"/>
          <w:szCs w:val="28"/>
          <w:lang w:val="uk-UA"/>
        </w:rPr>
        <w:t xml:space="preserve">на виконання Закону, </w:t>
      </w:r>
      <w:r w:rsidRPr="008757A7">
        <w:rPr>
          <w:sz w:val="28"/>
          <w:szCs w:val="28"/>
          <w:lang w:val="uk-UA"/>
        </w:rPr>
        <w:t>з метою визначення правових та організаційних засад гарантування безпечності кормів у процесі їх вир</w:t>
      </w:r>
      <w:r w:rsidR="00F45A07" w:rsidRPr="008757A7">
        <w:rPr>
          <w:sz w:val="28"/>
          <w:szCs w:val="28"/>
          <w:lang w:val="uk-UA"/>
        </w:rPr>
        <w:t xml:space="preserve">обництва, обігу та використання, зокрема </w:t>
      </w:r>
      <w:r w:rsidR="002F250E" w:rsidRPr="008757A7">
        <w:rPr>
          <w:sz w:val="28"/>
          <w:szCs w:val="28"/>
          <w:lang w:val="uk-UA"/>
        </w:rPr>
        <w:t xml:space="preserve">шляхом </w:t>
      </w:r>
      <w:r w:rsidR="00F45A07" w:rsidRPr="008757A7">
        <w:rPr>
          <w:sz w:val="28"/>
          <w:szCs w:val="28"/>
          <w:lang w:val="uk-UA"/>
        </w:rPr>
        <w:t xml:space="preserve">затвердження </w:t>
      </w:r>
      <w:r w:rsidR="002B5F01" w:rsidRPr="008757A7">
        <w:rPr>
          <w:sz w:val="28"/>
          <w:szCs w:val="28"/>
          <w:lang w:val="uk-UA"/>
        </w:rPr>
        <w:t>Порядку знищення, утилізації кормів, повернення їх в обіг для годівлі тварин або для інших, ніж годівля тварин, цілей</w:t>
      </w:r>
      <w:r w:rsidR="00E37A74" w:rsidRPr="008757A7">
        <w:rPr>
          <w:sz w:val="28"/>
          <w:szCs w:val="28"/>
          <w:lang w:val="uk-UA"/>
        </w:rPr>
        <w:t>.</w:t>
      </w:r>
    </w:p>
    <w:p w:rsidR="00E37A74" w:rsidRPr="008757A7" w:rsidRDefault="00E37A74" w:rsidP="00331B4A">
      <w:pPr>
        <w:pStyle w:val="10"/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На сьогодні в Україні відсутні нормативно-правові акти, які регулюють зазначені вище питання.</w:t>
      </w:r>
    </w:p>
    <w:p w:rsidR="00E37A74" w:rsidRPr="008757A7" w:rsidRDefault="00E37A74" w:rsidP="00331B4A">
      <w:pPr>
        <w:pStyle w:val="10"/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Крім того, Планом заходів з виконання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 сторони, затвердженим постановою Кабінету Міністрів України від 25 жовтня 2017 року №</w:t>
      </w:r>
      <w:r w:rsidR="00F0217F" w:rsidRPr="008757A7">
        <w:rPr>
          <w:sz w:val="28"/>
          <w:szCs w:val="28"/>
          <w:lang w:val="uk-UA"/>
        </w:rPr>
        <w:t> </w:t>
      </w:r>
      <w:r w:rsidRPr="008757A7">
        <w:rPr>
          <w:sz w:val="28"/>
          <w:szCs w:val="28"/>
          <w:lang w:val="uk-UA"/>
        </w:rPr>
        <w:t>1106, передбачено виконання заходів щодо встановлення загальних вимог до забезпечення безпечності кормів; виконання вимог до операторів ринку кормів, встановле</w:t>
      </w:r>
      <w:r w:rsidR="00FA1EEE" w:rsidRPr="008757A7">
        <w:rPr>
          <w:sz w:val="28"/>
          <w:szCs w:val="28"/>
          <w:lang w:val="uk-UA"/>
        </w:rPr>
        <w:t xml:space="preserve">ння вимог щодо забезпечення </w:t>
      </w:r>
      <w:proofErr w:type="spellStart"/>
      <w:r w:rsidR="00FA1EEE" w:rsidRPr="008757A7">
        <w:rPr>
          <w:sz w:val="28"/>
          <w:szCs w:val="28"/>
          <w:lang w:val="uk-UA"/>
        </w:rPr>
        <w:t>про</w:t>
      </w:r>
      <w:r w:rsidRPr="008757A7">
        <w:rPr>
          <w:sz w:val="28"/>
          <w:szCs w:val="28"/>
          <w:lang w:val="uk-UA"/>
        </w:rPr>
        <w:t>с</w:t>
      </w:r>
      <w:r w:rsidR="00FA1EEE" w:rsidRPr="008757A7">
        <w:rPr>
          <w:sz w:val="28"/>
          <w:szCs w:val="28"/>
          <w:lang w:val="uk-UA"/>
        </w:rPr>
        <w:t>т</w:t>
      </w:r>
      <w:r w:rsidRPr="008757A7">
        <w:rPr>
          <w:sz w:val="28"/>
          <w:szCs w:val="28"/>
          <w:lang w:val="uk-UA"/>
        </w:rPr>
        <w:t>ежуваності</w:t>
      </w:r>
      <w:proofErr w:type="spellEnd"/>
      <w:r w:rsidRPr="008757A7">
        <w:rPr>
          <w:sz w:val="28"/>
          <w:szCs w:val="28"/>
          <w:lang w:val="uk-UA"/>
        </w:rPr>
        <w:t xml:space="preserve"> операторами ринку кормів тощо.</w:t>
      </w:r>
    </w:p>
    <w:p w:rsidR="005F4E67" w:rsidRPr="008757A7" w:rsidRDefault="009501A1" w:rsidP="00331B4A">
      <w:pPr>
        <w:pStyle w:val="10"/>
        <w:ind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Орієнтовно у 2018 році в Україні зареєстровано </w:t>
      </w:r>
      <w:r w:rsidR="00013ACE" w:rsidRPr="008757A7">
        <w:rPr>
          <w:sz w:val="28"/>
          <w:szCs w:val="28"/>
          <w:lang w:val="uk-UA"/>
        </w:rPr>
        <w:t>7 340</w:t>
      </w:r>
      <w:r w:rsidR="00ED7352" w:rsidRPr="008757A7">
        <w:rPr>
          <w:sz w:val="28"/>
          <w:szCs w:val="28"/>
          <w:lang w:val="uk-UA"/>
        </w:rPr>
        <w:t xml:space="preserve"> </w:t>
      </w:r>
      <w:r w:rsidR="005F4E67" w:rsidRPr="008757A7">
        <w:rPr>
          <w:sz w:val="28"/>
          <w:szCs w:val="28"/>
          <w:lang w:val="uk-UA"/>
        </w:rPr>
        <w:t>суб</w:t>
      </w:r>
      <w:r w:rsidR="00ED7352" w:rsidRPr="008757A7">
        <w:rPr>
          <w:sz w:val="28"/>
          <w:szCs w:val="28"/>
          <w:lang w:val="uk-UA"/>
        </w:rPr>
        <w:t>’</w:t>
      </w:r>
      <w:r w:rsidR="005F4E67" w:rsidRPr="008757A7">
        <w:rPr>
          <w:sz w:val="28"/>
          <w:szCs w:val="28"/>
          <w:lang w:val="uk-UA"/>
        </w:rPr>
        <w:t>єктів господарювання</w:t>
      </w:r>
      <w:r w:rsidRPr="008757A7">
        <w:rPr>
          <w:sz w:val="28"/>
          <w:szCs w:val="28"/>
          <w:lang w:val="uk-UA"/>
        </w:rPr>
        <w:t xml:space="preserve">, </w:t>
      </w:r>
      <w:r w:rsidR="005F4E67" w:rsidRPr="008757A7">
        <w:rPr>
          <w:sz w:val="28"/>
          <w:szCs w:val="28"/>
          <w:lang w:val="uk-UA"/>
        </w:rPr>
        <w:t>діяльність яких пов</w:t>
      </w:r>
      <w:r w:rsidR="00FA1EEE" w:rsidRPr="008757A7">
        <w:rPr>
          <w:sz w:val="28"/>
          <w:szCs w:val="28"/>
          <w:lang w:val="uk-UA"/>
        </w:rPr>
        <w:t>’</w:t>
      </w:r>
      <w:r w:rsidR="005F4E67" w:rsidRPr="008757A7">
        <w:rPr>
          <w:sz w:val="28"/>
          <w:szCs w:val="28"/>
          <w:lang w:val="uk-UA"/>
        </w:rPr>
        <w:t>язана з виробництвом та обігом кормів.</w:t>
      </w:r>
    </w:p>
    <w:p w:rsidR="009501A1" w:rsidRPr="008757A7" w:rsidRDefault="009501A1" w:rsidP="00331B4A">
      <w:pPr>
        <w:pStyle w:val="10"/>
        <w:ind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Всі вищезгадані суб’єкти підпадають під визначення операторів ринку </w:t>
      </w:r>
      <w:r w:rsidR="005F4E67" w:rsidRPr="008757A7">
        <w:rPr>
          <w:sz w:val="28"/>
          <w:szCs w:val="28"/>
          <w:lang w:val="uk-UA"/>
        </w:rPr>
        <w:t>кормів</w:t>
      </w:r>
      <w:r w:rsidRPr="008757A7">
        <w:rPr>
          <w:sz w:val="28"/>
          <w:szCs w:val="28"/>
          <w:lang w:val="uk-UA"/>
        </w:rPr>
        <w:t>, знаходяться під ветеринарно-санітарним контролем і наглядом та на них розповсюджуються вимоги регулювання.</w:t>
      </w:r>
    </w:p>
    <w:p w:rsidR="005F4E67" w:rsidRPr="008757A7" w:rsidRDefault="009501A1" w:rsidP="00331B4A">
      <w:pPr>
        <w:pStyle w:val="10"/>
        <w:ind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lastRenderedPageBreak/>
        <w:t xml:space="preserve">Виключенням є суб’єкти, що здійснюють </w:t>
      </w:r>
      <w:r w:rsidR="005F4E67" w:rsidRPr="008757A7">
        <w:rPr>
          <w:sz w:val="28"/>
          <w:szCs w:val="28"/>
          <w:lang w:val="uk-UA"/>
        </w:rPr>
        <w:t xml:space="preserve">власне </w:t>
      </w:r>
      <w:r w:rsidRPr="008757A7">
        <w:rPr>
          <w:sz w:val="28"/>
          <w:szCs w:val="28"/>
          <w:lang w:val="uk-UA"/>
        </w:rPr>
        <w:t xml:space="preserve">виробництво </w:t>
      </w:r>
      <w:r w:rsidR="005F4E67" w:rsidRPr="008757A7">
        <w:rPr>
          <w:sz w:val="28"/>
          <w:szCs w:val="28"/>
          <w:lang w:val="uk-UA"/>
        </w:rPr>
        <w:t>кормів для продуктивних тварин, що утримуються з метою виробництва харчових продуктів для власного споживання, а також на власне виробництво кормів для непродуктивних тварин.</w:t>
      </w:r>
    </w:p>
    <w:p w:rsidR="00F410E4" w:rsidRPr="008757A7" w:rsidRDefault="009501A1" w:rsidP="00331B4A">
      <w:pPr>
        <w:pStyle w:val="10"/>
        <w:ind w:firstLine="709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>Жоден з ринкових механізмів не може бути застосований для розв’язання зазначеної проблеми, оскільки не регулюються ринковими механізмами.</w:t>
      </w:r>
    </w:p>
    <w:p w:rsidR="00F410E4" w:rsidRPr="008757A7" w:rsidRDefault="00F410E4" w:rsidP="00331B4A">
      <w:pPr>
        <w:ind w:firstLine="709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>Враховуючи вищевикладене</w:t>
      </w:r>
      <w:r w:rsidR="00FA1EEE" w:rsidRPr="008757A7">
        <w:rPr>
          <w:sz w:val="28"/>
          <w:szCs w:val="28"/>
          <w:lang w:val="uk-UA"/>
        </w:rPr>
        <w:t>,</w:t>
      </w:r>
      <w:r w:rsidRPr="008757A7">
        <w:rPr>
          <w:sz w:val="28"/>
          <w:szCs w:val="28"/>
          <w:lang w:val="uk-UA"/>
        </w:rPr>
        <w:t xml:space="preserve"> головними проблемами, на ліквідацію яких спрямована </w:t>
      </w:r>
      <w:r w:rsidR="002F250E" w:rsidRPr="008757A7">
        <w:rPr>
          <w:sz w:val="28"/>
          <w:szCs w:val="28"/>
          <w:lang w:val="uk-UA"/>
        </w:rPr>
        <w:t xml:space="preserve">дія проекту наказу </w:t>
      </w:r>
      <w:r w:rsidR="00F0217F" w:rsidRPr="008757A7">
        <w:rPr>
          <w:sz w:val="28"/>
          <w:szCs w:val="28"/>
          <w:lang w:val="uk-UA"/>
        </w:rPr>
        <w:t>Мінекономіки</w:t>
      </w:r>
      <w:r w:rsidR="002F250E" w:rsidRPr="008757A7">
        <w:rPr>
          <w:sz w:val="28"/>
          <w:szCs w:val="28"/>
          <w:lang w:val="uk-UA"/>
        </w:rPr>
        <w:t xml:space="preserve"> </w:t>
      </w:r>
      <w:r w:rsidR="00F0217F" w:rsidRPr="008757A7">
        <w:rPr>
          <w:sz w:val="28"/>
          <w:szCs w:val="28"/>
          <w:lang w:val="uk-UA"/>
        </w:rPr>
        <w:t>“</w:t>
      </w:r>
      <w:r w:rsidR="002B5F01" w:rsidRPr="008757A7">
        <w:rPr>
          <w:bCs/>
          <w:sz w:val="28"/>
          <w:szCs w:val="28"/>
          <w:shd w:val="clear" w:color="auto" w:fill="FFFFFF"/>
          <w:lang w:val="uk-UA"/>
        </w:rPr>
        <w:t xml:space="preserve">Про </w:t>
      </w:r>
      <w:r w:rsidR="002B5F01" w:rsidRPr="008757A7">
        <w:rPr>
          <w:sz w:val="28"/>
          <w:szCs w:val="28"/>
          <w:lang w:val="uk-UA"/>
        </w:rPr>
        <w:t>затвердження Порядку знищення, утилізації кормів, повернення їх в обіг для годівлі тварин або для і</w:t>
      </w:r>
      <w:r w:rsidR="00F0217F" w:rsidRPr="008757A7">
        <w:rPr>
          <w:sz w:val="28"/>
          <w:szCs w:val="28"/>
          <w:lang w:val="uk-UA"/>
        </w:rPr>
        <w:t>нших, ніж годівля тварин, цілей”</w:t>
      </w:r>
      <w:r w:rsidRPr="008757A7">
        <w:rPr>
          <w:sz w:val="28"/>
          <w:szCs w:val="28"/>
          <w:lang w:val="uk-UA"/>
        </w:rPr>
        <w:t>, є</w:t>
      </w:r>
      <w:r w:rsidR="002F250E" w:rsidRPr="008757A7">
        <w:rPr>
          <w:sz w:val="28"/>
          <w:szCs w:val="28"/>
          <w:lang w:val="uk-UA"/>
        </w:rPr>
        <w:t xml:space="preserve"> затвердження</w:t>
      </w:r>
      <w:r w:rsidRPr="008757A7">
        <w:rPr>
          <w:sz w:val="28"/>
          <w:szCs w:val="28"/>
          <w:lang w:val="uk-UA"/>
        </w:rPr>
        <w:t>:</w:t>
      </w:r>
    </w:p>
    <w:p w:rsidR="00906BC7" w:rsidRPr="008757A7" w:rsidRDefault="002B5F01" w:rsidP="00906BC7">
      <w:pPr>
        <w:ind w:right="-142"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Порядку знищення, утилізації кормів, повернення їх в обіг для годівлі тварин або для інших, ніж годівля тварин, цілей</w:t>
      </w:r>
      <w:r w:rsidR="00906BC7" w:rsidRPr="008757A7">
        <w:rPr>
          <w:sz w:val="28"/>
          <w:szCs w:val="28"/>
          <w:lang w:val="uk-UA"/>
        </w:rPr>
        <w:t>.</w:t>
      </w:r>
    </w:p>
    <w:p w:rsidR="00F410E4" w:rsidRPr="00582D23" w:rsidRDefault="00F410E4" w:rsidP="00331B4A">
      <w:pPr>
        <w:pStyle w:val="10"/>
        <w:ind w:firstLine="708"/>
        <w:jc w:val="both"/>
        <w:rPr>
          <w:lang w:val="uk-UA"/>
        </w:rPr>
      </w:pPr>
    </w:p>
    <w:p w:rsidR="00853654" w:rsidRPr="008757A7" w:rsidRDefault="00853654" w:rsidP="00853654">
      <w:pPr>
        <w:pStyle w:val="10"/>
        <w:ind w:firstLine="708"/>
        <w:jc w:val="center"/>
        <w:rPr>
          <w:lang w:val="uk-UA"/>
        </w:rPr>
      </w:pPr>
      <w:r w:rsidRPr="008757A7">
        <w:rPr>
          <w:b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bidiVisual/>
        <w:tblW w:w="96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2870"/>
        <w:gridCol w:w="3649"/>
      </w:tblGrid>
      <w:tr w:rsidR="00853654" w:rsidRPr="008757A7" w:rsidTr="007E3141">
        <w:tc>
          <w:tcPr>
            <w:tcW w:w="3123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Ні</w:t>
            </w:r>
          </w:p>
        </w:tc>
        <w:tc>
          <w:tcPr>
            <w:tcW w:w="2870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649" w:type="dxa"/>
          </w:tcPr>
          <w:p w:rsidR="00853654" w:rsidRPr="008757A7" w:rsidRDefault="00853654" w:rsidP="007E3141">
            <w:pPr>
              <w:pStyle w:val="10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Групи (підгрупи)</w:t>
            </w:r>
          </w:p>
        </w:tc>
      </w:tr>
      <w:tr w:rsidR="00853654" w:rsidRPr="008757A7" w:rsidTr="007E3141">
        <w:tc>
          <w:tcPr>
            <w:tcW w:w="3123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649" w:type="dxa"/>
          </w:tcPr>
          <w:p w:rsidR="00853654" w:rsidRPr="008757A7" w:rsidRDefault="00853654" w:rsidP="007E3141">
            <w:pPr>
              <w:pStyle w:val="10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Громадяни</w:t>
            </w:r>
          </w:p>
        </w:tc>
      </w:tr>
      <w:tr w:rsidR="00853654" w:rsidRPr="008757A7" w:rsidTr="007E3141">
        <w:tc>
          <w:tcPr>
            <w:tcW w:w="3123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649" w:type="dxa"/>
          </w:tcPr>
          <w:p w:rsidR="00853654" w:rsidRPr="008757A7" w:rsidRDefault="00853654" w:rsidP="007E3141">
            <w:pPr>
              <w:pStyle w:val="10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Держава</w:t>
            </w:r>
          </w:p>
        </w:tc>
      </w:tr>
      <w:tr w:rsidR="00853654" w:rsidRPr="008757A7" w:rsidTr="007E3141">
        <w:trPr>
          <w:trHeight w:val="260"/>
        </w:trPr>
        <w:tc>
          <w:tcPr>
            <w:tcW w:w="3123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649" w:type="dxa"/>
          </w:tcPr>
          <w:p w:rsidR="00853654" w:rsidRPr="008757A7" w:rsidRDefault="00853654" w:rsidP="007E3141">
            <w:pPr>
              <w:pStyle w:val="10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</w:tr>
      <w:tr w:rsidR="00853654" w:rsidRPr="008757A7" w:rsidTr="007E3141">
        <w:tc>
          <w:tcPr>
            <w:tcW w:w="3123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</w:tcPr>
          <w:p w:rsidR="00853654" w:rsidRPr="008757A7" w:rsidRDefault="00853654" w:rsidP="007E3141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649" w:type="dxa"/>
          </w:tcPr>
          <w:p w:rsidR="00853654" w:rsidRPr="008757A7" w:rsidRDefault="00853654" w:rsidP="007E3141">
            <w:pPr>
              <w:pStyle w:val="10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</w:tr>
    </w:tbl>
    <w:p w:rsidR="00853654" w:rsidRPr="00582D23" w:rsidRDefault="00853654" w:rsidP="00853654">
      <w:pPr>
        <w:pStyle w:val="10"/>
        <w:ind w:left="720"/>
        <w:jc w:val="center"/>
        <w:rPr>
          <w:lang w:val="uk-UA"/>
        </w:rPr>
      </w:pPr>
    </w:p>
    <w:p w:rsidR="00F410E4" w:rsidRPr="008757A7" w:rsidRDefault="00F410E4" w:rsidP="00331B4A">
      <w:pPr>
        <w:pStyle w:val="10"/>
        <w:ind w:left="720"/>
        <w:jc w:val="center"/>
        <w:rPr>
          <w:lang w:val="uk-UA"/>
        </w:rPr>
      </w:pPr>
      <w:r w:rsidRPr="008757A7">
        <w:rPr>
          <w:b/>
          <w:sz w:val="28"/>
          <w:szCs w:val="28"/>
          <w:lang w:val="uk-UA"/>
        </w:rPr>
        <w:t>ІІ. Цілі державного регулювання</w:t>
      </w:r>
    </w:p>
    <w:p w:rsidR="00F410E4" w:rsidRPr="00582D23" w:rsidRDefault="00F410E4" w:rsidP="00331B4A">
      <w:pPr>
        <w:pStyle w:val="10"/>
        <w:ind w:firstLine="708"/>
        <w:jc w:val="both"/>
        <w:rPr>
          <w:lang w:val="uk-UA"/>
        </w:rPr>
      </w:pPr>
    </w:p>
    <w:p w:rsidR="00F410E4" w:rsidRPr="008757A7" w:rsidRDefault="00F410E4" w:rsidP="00FC4007">
      <w:pPr>
        <w:ind w:right="-142"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Основною ціллю державного регулювання </w:t>
      </w:r>
      <w:r w:rsidR="003B2DE0" w:rsidRPr="008757A7">
        <w:rPr>
          <w:sz w:val="28"/>
          <w:szCs w:val="28"/>
          <w:lang w:val="uk-UA"/>
        </w:rPr>
        <w:t xml:space="preserve">є </w:t>
      </w:r>
      <w:r w:rsidR="00FC4007" w:rsidRPr="008757A7">
        <w:rPr>
          <w:sz w:val="28"/>
          <w:szCs w:val="28"/>
          <w:lang w:val="uk-UA"/>
        </w:rPr>
        <w:t xml:space="preserve">визначення єдиного порядку знищення, утилізації кормів, повернення їх в обіг для годівлі тварин або для інших, ніж годівля тварин, цілей, </w:t>
      </w:r>
      <w:r w:rsidR="001E709C" w:rsidRPr="008757A7">
        <w:rPr>
          <w:sz w:val="28"/>
          <w:szCs w:val="28"/>
          <w:lang w:val="uk-UA"/>
        </w:rPr>
        <w:t>гар</w:t>
      </w:r>
      <w:r w:rsidR="003B2DE0" w:rsidRPr="008757A7">
        <w:rPr>
          <w:sz w:val="28"/>
          <w:szCs w:val="28"/>
          <w:lang w:val="uk-UA"/>
        </w:rPr>
        <w:t>м</w:t>
      </w:r>
      <w:r w:rsidR="001E709C" w:rsidRPr="008757A7">
        <w:rPr>
          <w:sz w:val="28"/>
          <w:szCs w:val="28"/>
          <w:lang w:val="uk-UA"/>
        </w:rPr>
        <w:t>о</w:t>
      </w:r>
      <w:r w:rsidR="003B2DE0" w:rsidRPr="008757A7">
        <w:rPr>
          <w:sz w:val="28"/>
          <w:szCs w:val="28"/>
          <w:lang w:val="uk-UA"/>
        </w:rPr>
        <w:t>нізація українського законодавства до міжнародних вимог, виконання Угоди СОТ про санітарні та фітосані</w:t>
      </w:r>
      <w:r w:rsidR="00B816B4" w:rsidRPr="008757A7">
        <w:rPr>
          <w:sz w:val="28"/>
          <w:szCs w:val="28"/>
          <w:lang w:val="uk-UA"/>
        </w:rPr>
        <w:t>тарні заходи.</w:t>
      </w:r>
    </w:p>
    <w:p w:rsidR="00F410E4" w:rsidRPr="008757A7" w:rsidRDefault="00F410E4" w:rsidP="00331B4A">
      <w:pPr>
        <w:pStyle w:val="10"/>
        <w:ind w:left="720"/>
        <w:jc w:val="center"/>
        <w:rPr>
          <w:lang w:val="uk-UA"/>
        </w:rPr>
      </w:pPr>
    </w:p>
    <w:p w:rsidR="00F410E4" w:rsidRPr="008757A7" w:rsidRDefault="00F410E4" w:rsidP="00331B4A">
      <w:pPr>
        <w:pStyle w:val="10"/>
        <w:ind w:left="450" w:hanging="306"/>
        <w:jc w:val="center"/>
        <w:rPr>
          <w:lang w:val="uk-UA"/>
        </w:rPr>
      </w:pPr>
      <w:r w:rsidRPr="008757A7">
        <w:rPr>
          <w:b/>
          <w:sz w:val="28"/>
          <w:szCs w:val="28"/>
          <w:highlight w:val="white"/>
          <w:lang w:val="uk-UA"/>
        </w:rPr>
        <w:t>ІІІ. Визначення та оцінка альтернативних способів досягнення цілей</w:t>
      </w:r>
    </w:p>
    <w:p w:rsidR="004A0684" w:rsidRPr="008757A7" w:rsidRDefault="004A0684" w:rsidP="00331B4A">
      <w:pPr>
        <w:pStyle w:val="10"/>
        <w:tabs>
          <w:tab w:val="left" w:pos="9540"/>
        </w:tabs>
        <w:ind w:firstLine="720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Альтернативними способами досягнення </w:t>
      </w:r>
      <w:r w:rsidR="001E709C" w:rsidRPr="008757A7">
        <w:rPr>
          <w:sz w:val="28"/>
          <w:szCs w:val="28"/>
          <w:lang w:val="uk-UA"/>
        </w:rPr>
        <w:t>цілі</w:t>
      </w:r>
      <w:r w:rsidRPr="008757A7">
        <w:rPr>
          <w:sz w:val="28"/>
          <w:szCs w:val="28"/>
          <w:lang w:val="uk-UA"/>
        </w:rPr>
        <w:t xml:space="preserve"> є:</w:t>
      </w:r>
    </w:p>
    <w:p w:rsidR="004A0684" w:rsidRPr="00582D23" w:rsidRDefault="004A0684" w:rsidP="00331B4A">
      <w:pPr>
        <w:pStyle w:val="10"/>
        <w:tabs>
          <w:tab w:val="left" w:pos="9540"/>
        </w:tabs>
        <w:ind w:firstLine="720"/>
        <w:jc w:val="both"/>
        <w:rPr>
          <w:lang w:val="uk-UA"/>
        </w:rPr>
      </w:pPr>
    </w:p>
    <w:p w:rsidR="004A0684" w:rsidRPr="008757A7" w:rsidRDefault="004A0684" w:rsidP="00331B4A">
      <w:pPr>
        <w:pStyle w:val="10"/>
        <w:tabs>
          <w:tab w:val="left" w:pos="9540"/>
        </w:tabs>
        <w:ind w:firstLine="720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1. Застосування вимог ЄС без </w:t>
      </w:r>
      <w:r w:rsidR="001E709C" w:rsidRPr="008757A7">
        <w:rPr>
          <w:sz w:val="28"/>
          <w:szCs w:val="28"/>
          <w:lang w:val="uk-UA"/>
        </w:rPr>
        <w:t>визначення їх в національному законодавстві</w:t>
      </w:r>
      <w:r w:rsidRPr="008757A7">
        <w:rPr>
          <w:sz w:val="28"/>
          <w:szCs w:val="28"/>
          <w:lang w:val="uk-UA"/>
        </w:rPr>
        <w:t>.</w:t>
      </w:r>
    </w:p>
    <w:p w:rsidR="004A0684" w:rsidRPr="00582D23" w:rsidRDefault="004A0684" w:rsidP="00331B4A">
      <w:pPr>
        <w:pStyle w:val="10"/>
        <w:tabs>
          <w:tab w:val="left" w:pos="9540"/>
        </w:tabs>
        <w:ind w:firstLine="720"/>
        <w:jc w:val="both"/>
        <w:rPr>
          <w:lang w:val="uk-UA"/>
        </w:rPr>
      </w:pPr>
    </w:p>
    <w:p w:rsidR="00F410E4" w:rsidRPr="008757A7" w:rsidRDefault="004A0684" w:rsidP="00331B4A">
      <w:pPr>
        <w:pStyle w:val="10"/>
        <w:tabs>
          <w:tab w:val="left" w:pos="9540"/>
        </w:tabs>
        <w:ind w:firstLine="720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2. Прийняття пропонованого проекту наказу </w:t>
      </w:r>
      <w:r w:rsidR="00F0217F" w:rsidRPr="008757A7">
        <w:rPr>
          <w:sz w:val="28"/>
          <w:szCs w:val="28"/>
          <w:lang w:val="uk-UA"/>
        </w:rPr>
        <w:t>Мінекономіки</w:t>
      </w:r>
      <w:r w:rsidRPr="008757A7">
        <w:rPr>
          <w:sz w:val="28"/>
          <w:szCs w:val="28"/>
          <w:lang w:val="uk-UA"/>
        </w:rPr>
        <w:t>.</w:t>
      </w:r>
    </w:p>
    <w:p w:rsidR="004A0684" w:rsidRPr="00582D23" w:rsidRDefault="004A0684" w:rsidP="00331B4A">
      <w:pPr>
        <w:pStyle w:val="10"/>
        <w:tabs>
          <w:tab w:val="left" w:pos="9540"/>
        </w:tabs>
        <w:ind w:firstLine="720"/>
        <w:jc w:val="both"/>
        <w:rPr>
          <w:lang w:val="uk-UA"/>
        </w:rPr>
      </w:pPr>
    </w:p>
    <w:p w:rsidR="00FC4007" w:rsidRPr="008757A7" w:rsidRDefault="00FC4007" w:rsidP="00FC4007">
      <w:pPr>
        <w:pStyle w:val="10"/>
        <w:numPr>
          <w:ilvl w:val="0"/>
          <w:numId w:val="1"/>
        </w:numPr>
        <w:ind w:hanging="360"/>
        <w:contextualSpacing/>
        <w:jc w:val="center"/>
        <w:rPr>
          <w:b/>
          <w:sz w:val="28"/>
          <w:szCs w:val="28"/>
          <w:highlight w:val="white"/>
          <w:lang w:val="uk-UA"/>
        </w:rPr>
      </w:pPr>
      <w:r w:rsidRPr="008757A7">
        <w:rPr>
          <w:b/>
          <w:sz w:val="28"/>
          <w:szCs w:val="28"/>
          <w:highlight w:val="white"/>
          <w:lang w:val="uk-UA"/>
        </w:rPr>
        <w:t>Визначення альтернативних способів</w:t>
      </w:r>
    </w:p>
    <w:tbl>
      <w:tblPr>
        <w:bidiVisual/>
        <w:tblW w:w="9781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22"/>
        <w:gridCol w:w="6159"/>
      </w:tblGrid>
      <w:tr w:rsidR="00FC4007" w:rsidRPr="008757A7" w:rsidTr="007E3141">
        <w:tc>
          <w:tcPr>
            <w:tcW w:w="362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4007" w:rsidRPr="008757A7" w:rsidRDefault="00FC4007" w:rsidP="007E3141">
            <w:pPr>
              <w:pStyle w:val="10"/>
              <w:ind w:left="-6" w:firstLine="29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Опис альтернативи</w:t>
            </w:r>
          </w:p>
        </w:tc>
        <w:tc>
          <w:tcPr>
            <w:tcW w:w="6159" w:type="dxa"/>
          </w:tcPr>
          <w:p w:rsidR="00FC4007" w:rsidRPr="008757A7" w:rsidRDefault="00FC4007" w:rsidP="007E3141">
            <w:pPr>
              <w:pStyle w:val="10"/>
              <w:ind w:left="158" w:hanging="135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</w:tr>
      <w:tr w:rsidR="00FC4007" w:rsidRPr="008757A7" w:rsidTr="007E3141">
        <w:tc>
          <w:tcPr>
            <w:tcW w:w="3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07" w:rsidRPr="008757A7" w:rsidRDefault="00FC4007" w:rsidP="007E3141">
            <w:pPr>
              <w:pStyle w:val="10"/>
              <w:tabs>
                <w:tab w:val="left" w:pos="9540"/>
              </w:tabs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Залишення без змін</w:t>
            </w:r>
          </w:p>
        </w:tc>
        <w:tc>
          <w:tcPr>
            <w:tcW w:w="615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4007" w:rsidRPr="008757A7" w:rsidRDefault="00FC4007" w:rsidP="00AF374F">
            <w:pPr>
              <w:pStyle w:val="10"/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Альтернатива 1 </w:t>
            </w:r>
          </w:p>
        </w:tc>
      </w:tr>
      <w:tr w:rsidR="00FC4007" w:rsidRPr="008757A7" w:rsidTr="007E3141">
        <w:tc>
          <w:tcPr>
            <w:tcW w:w="3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07" w:rsidRPr="008757A7" w:rsidRDefault="00FC4007" w:rsidP="00F0217F">
            <w:pPr>
              <w:pStyle w:val="10"/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Прийняття запропонованого Проекту наказу</w:t>
            </w:r>
            <w:r w:rsidRPr="008757A7">
              <w:rPr>
                <w:sz w:val="28"/>
                <w:szCs w:val="28"/>
                <w:lang w:val="uk-UA"/>
              </w:rPr>
              <w:t xml:space="preserve"> </w:t>
            </w:r>
            <w:r w:rsidR="00F0217F" w:rsidRPr="008757A7">
              <w:rPr>
                <w:sz w:val="28"/>
                <w:szCs w:val="28"/>
                <w:lang w:val="uk-UA"/>
              </w:rPr>
              <w:t>Мінекономіки</w:t>
            </w:r>
          </w:p>
        </w:tc>
        <w:tc>
          <w:tcPr>
            <w:tcW w:w="615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4007" w:rsidRPr="008757A7" w:rsidRDefault="00FC4007" w:rsidP="00AF374F">
            <w:pPr>
              <w:pStyle w:val="10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Альтернатива 2 </w:t>
            </w:r>
          </w:p>
        </w:tc>
      </w:tr>
    </w:tbl>
    <w:p w:rsidR="008147B4" w:rsidRDefault="008147B4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582D23" w:rsidRDefault="00582D23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582D23" w:rsidRDefault="00582D23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582D23" w:rsidRDefault="00582D23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582D23" w:rsidRDefault="00582D23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582D23" w:rsidRPr="00582D23" w:rsidRDefault="00582D23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F410E4" w:rsidRPr="008757A7" w:rsidRDefault="00F410E4" w:rsidP="00331B4A">
      <w:pPr>
        <w:pStyle w:val="10"/>
        <w:jc w:val="center"/>
        <w:rPr>
          <w:lang w:val="uk-UA"/>
        </w:rPr>
      </w:pPr>
      <w:r w:rsidRPr="008757A7">
        <w:rPr>
          <w:b/>
          <w:sz w:val="28"/>
          <w:szCs w:val="28"/>
          <w:highlight w:val="white"/>
          <w:lang w:val="uk-UA"/>
        </w:rPr>
        <w:t>2. Оцінка вибраних альтернативних способів досягнення цілей</w:t>
      </w:r>
    </w:p>
    <w:p w:rsidR="00F410E4" w:rsidRPr="00582D23" w:rsidRDefault="00F410E4" w:rsidP="00331B4A">
      <w:pPr>
        <w:pStyle w:val="10"/>
        <w:ind w:left="-6"/>
        <w:jc w:val="both"/>
        <w:rPr>
          <w:sz w:val="16"/>
          <w:szCs w:val="16"/>
          <w:lang w:val="uk-UA"/>
        </w:rPr>
      </w:pPr>
    </w:p>
    <w:p w:rsidR="00F410E4" w:rsidRPr="008757A7" w:rsidRDefault="00F410E4" w:rsidP="00331B4A">
      <w:pPr>
        <w:pStyle w:val="10"/>
        <w:ind w:left="-6" w:firstLine="576"/>
        <w:jc w:val="center"/>
        <w:rPr>
          <w:lang w:val="uk-UA"/>
        </w:rPr>
      </w:pPr>
      <w:r w:rsidRPr="008757A7">
        <w:rPr>
          <w:b/>
          <w:i/>
          <w:sz w:val="28"/>
          <w:szCs w:val="28"/>
          <w:highlight w:val="white"/>
          <w:lang w:val="uk-UA"/>
        </w:rPr>
        <w:t>Оцінка впливу на сферу інтересів держави</w:t>
      </w:r>
    </w:p>
    <w:p w:rsidR="00F410E4" w:rsidRPr="00582D23" w:rsidRDefault="00F410E4" w:rsidP="00331B4A">
      <w:pPr>
        <w:pStyle w:val="10"/>
        <w:ind w:left="-6" w:firstLine="871"/>
        <w:jc w:val="both"/>
        <w:rPr>
          <w:sz w:val="16"/>
          <w:szCs w:val="16"/>
          <w:lang w:val="uk-UA"/>
        </w:rPr>
      </w:pPr>
    </w:p>
    <w:tbl>
      <w:tblPr>
        <w:tblW w:w="9781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781"/>
      </w:tblGrid>
      <w:tr w:rsidR="004A0684" w:rsidRPr="008757A7" w:rsidTr="00331B4A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78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4A0684" w:rsidRPr="008757A7" w:rsidTr="00331B4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8757A7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0021" w:rsidRPr="008757A7" w:rsidRDefault="00390021" w:rsidP="00331B4A">
            <w:pPr>
              <w:ind w:left="173"/>
              <w:jc w:val="both"/>
              <w:rPr>
                <w:sz w:val="28"/>
                <w:szCs w:val="28"/>
                <w:highlight w:val="white"/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Відсутні.</w:t>
            </w:r>
          </w:p>
          <w:p w:rsidR="004A0684" w:rsidRPr="008757A7" w:rsidRDefault="004A0684" w:rsidP="00331B4A">
            <w:pPr>
              <w:ind w:left="173"/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390021" w:rsidP="00331B4A">
            <w:pPr>
              <w:ind w:left="173"/>
              <w:jc w:val="both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П</w:t>
            </w:r>
            <w:r w:rsidR="00F95794" w:rsidRPr="008757A7">
              <w:rPr>
                <w:sz w:val="28"/>
                <w:szCs w:val="28"/>
                <w:highlight w:val="white"/>
                <w:lang w:val="uk-UA"/>
              </w:rPr>
              <w:t xml:space="preserve">ов’язані </w:t>
            </w:r>
            <w:r w:rsidR="004A0684" w:rsidRPr="008757A7">
              <w:rPr>
                <w:sz w:val="28"/>
                <w:szCs w:val="28"/>
                <w:highlight w:val="white"/>
                <w:lang w:val="uk-UA"/>
              </w:rPr>
              <w:t>і</w:t>
            </w:r>
            <w:r w:rsidR="00F95794" w:rsidRPr="008757A7">
              <w:rPr>
                <w:sz w:val="28"/>
                <w:szCs w:val="28"/>
                <w:highlight w:val="white"/>
                <w:lang w:val="uk-UA"/>
              </w:rPr>
              <w:t>з неврегульованістю та недостатнім державним контролем процесу</w:t>
            </w:r>
            <w:r w:rsidR="004A0684" w:rsidRPr="008757A7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r w:rsidR="00F95794" w:rsidRPr="008757A7">
              <w:rPr>
                <w:sz w:val="28"/>
                <w:szCs w:val="28"/>
                <w:lang w:val="uk-UA"/>
              </w:rPr>
              <w:t>знищення, утилізації кормів, повернення їх в обіг для годівлі тварин або для інших, ніж годівля тварин, цілей.</w:t>
            </w:r>
          </w:p>
          <w:p w:rsidR="00F95794" w:rsidRPr="008757A7" w:rsidRDefault="00F95794" w:rsidP="00331B4A">
            <w:pPr>
              <w:ind w:left="173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Шкідливим впливом на довкілля.</w:t>
            </w:r>
          </w:p>
          <w:p w:rsidR="004A0684" w:rsidRPr="008757A7" w:rsidRDefault="004A0684" w:rsidP="00331B4A">
            <w:pPr>
              <w:ind w:left="173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Продовження конфліктів із бізнесом щодо недосконалості підходів регулювання, що буде залишатися застарілим та неузгодженим.</w:t>
            </w:r>
          </w:p>
        </w:tc>
      </w:tr>
      <w:tr w:rsidR="004A0684" w:rsidRPr="008757A7" w:rsidTr="00331B4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8757A7" w:rsidRDefault="004A0684" w:rsidP="00331B4A">
            <w:pPr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F95794" w:rsidP="00331B4A">
            <w:pPr>
              <w:tabs>
                <w:tab w:val="left" w:pos="954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57A7">
              <w:rPr>
                <w:sz w:val="28"/>
                <w:szCs w:val="28"/>
                <w:lang w:val="uk-UA"/>
              </w:rPr>
              <w:t>Уномрування</w:t>
            </w:r>
            <w:proofErr w:type="spellEnd"/>
            <w:r w:rsidRPr="008757A7">
              <w:rPr>
                <w:sz w:val="28"/>
                <w:szCs w:val="28"/>
                <w:lang w:val="uk-UA"/>
              </w:rPr>
              <w:t xml:space="preserve"> порядку знищення, утилізації кормів, повернення їх в обіг для годівлі тварин або для інших, ніж годівля тварин, цілей.</w:t>
            </w:r>
          </w:p>
          <w:p w:rsidR="0045106A" w:rsidRPr="008757A7" w:rsidRDefault="00C452A8" w:rsidP="00331B4A">
            <w:pPr>
              <w:tabs>
                <w:tab w:val="left" w:pos="9540"/>
              </w:tabs>
              <w:jc w:val="both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Усунення</w:t>
            </w:r>
            <w:r w:rsidR="00F95794" w:rsidRPr="008757A7">
              <w:rPr>
                <w:sz w:val="28"/>
                <w:szCs w:val="28"/>
                <w:lang w:val="uk-UA"/>
              </w:rPr>
              <w:t xml:space="preserve"> шкідливого впливу на довкілля.</w:t>
            </w:r>
          </w:p>
          <w:p w:rsidR="00C452A8" w:rsidRPr="008757A7" w:rsidRDefault="00C452A8" w:rsidP="00331B4A">
            <w:pPr>
              <w:tabs>
                <w:tab w:val="left" w:pos="9540"/>
              </w:tabs>
              <w:jc w:val="both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Усунення конфліктів між контролюючими органами та бізнесом.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84" w:rsidRPr="008757A7" w:rsidRDefault="004A0684" w:rsidP="00331B4A">
            <w:pPr>
              <w:ind w:left="173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Певне збільшення витрат на здійснення навчання фахівців, перегляд нормативних актів і </w:t>
            </w:r>
            <w:proofErr w:type="spellStart"/>
            <w:r w:rsidRPr="008757A7">
              <w:rPr>
                <w:sz w:val="28"/>
                <w:szCs w:val="28"/>
                <w:highlight w:val="white"/>
                <w:lang w:val="uk-UA"/>
              </w:rPr>
              <w:t>т.п</w:t>
            </w:r>
            <w:proofErr w:type="spellEnd"/>
            <w:r w:rsidRPr="008757A7">
              <w:rPr>
                <w:sz w:val="28"/>
                <w:szCs w:val="28"/>
                <w:highlight w:val="white"/>
                <w:lang w:val="uk-UA"/>
              </w:rPr>
              <w:t>.</w:t>
            </w:r>
          </w:p>
        </w:tc>
      </w:tr>
    </w:tbl>
    <w:p w:rsidR="00F410E4" w:rsidRPr="008757A7" w:rsidRDefault="00F410E4" w:rsidP="00331B4A">
      <w:pPr>
        <w:pStyle w:val="10"/>
        <w:ind w:left="-6" w:firstLine="871"/>
        <w:jc w:val="center"/>
        <w:rPr>
          <w:lang w:val="uk-UA"/>
        </w:rPr>
      </w:pPr>
    </w:p>
    <w:p w:rsidR="00F410E4" w:rsidRPr="008757A7" w:rsidRDefault="00F410E4" w:rsidP="00331B4A">
      <w:pPr>
        <w:pStyle w:val="10"/>
        <w:ind w:left="-6" w:firstLine="871"/>
        <w:jc w:val="center"/>
        <w:rPr>
          <w:lang w:val="uk-UA"/>
        </w:rPr>
      </w:pPr>
      <w:r w:rsidRPr="008757A7">
        <w:rPr>
          <w:b/>
          <w:i/>
          <w:sz w:val="28"/>
          <w:szCs w:val="28"/>
          <w:highlight w:val="white"/>
          <w:lang w:val="uk-UA"/>
        </w:rPr>
        <w:t>Оцінка впливу на сферу інтересів громадян</w:t>
      </w:r>
    </w:p>
    <w:p w:rsidR="00F410E4" w:rsidRPr="008757A7" w:rsidRDefault="00F410E4" w:rsidP="00331B4A">
      <w:pPr>
        <w:pStyle w:val="10"/>
        <w:ind w:left="-6" w:firstLine="871"/>
        <w:jc w:val="both"/>
        <w:rPr>
          <w:lang w:val="uk-UA"/>
        </w:rPr>
      </w:pPr>
    </w:p>
    <w:tbl>
      <w:tblPr>
        <w:tblW w:w="963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30"/>
      </w:tblGrid>
      <w:tr w:rsidR="004A0684" w:rsidRPr="008757A7" w:rsidTr="00386B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8757A7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4A0684" w:rsidRPr="008757A7" w:rsidTr="00386B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84" w:rsidRPr="008757A7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7F33" w:rsidRPr="008757A7" w:rsidRDefault="000B7F33" w:rsidP="00331B4A">
            <w:pPr>
              <w:tabs>
                <w:tab w:val="left" w:pos="9540"/>
              </w:tabs>
              <w:jc w:val="both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Відсутні.</w:t>
            </w:r>
          </w:p>
          <w:p w:rsidR="004A0684" w:rsidRPr="008757A7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7F33" w:rsidRPr="008757A7" w:rsidRDefault="000B7F33" w:rsidP="000B7F33">
            <w:pPr>
              <w:ind w:left="173"/>
              <w:jc w:val="both"/>
              <w:rPr>
                <w:lang w:val="uk-UA"/>
              </w:rPr>
            </w:pPr>
            <w:proofErr w:type="spellStart"/>
            <w:r w:rsidRPr="008757A7">
              <w:rPr>
                <w:sz w:val="28"/>
                <w:szCs w:val="28"/>
                <w:lang w:val="uk-UA"/>
              </w:rPr>
              <w:t>Повʼязані</w:t>
            </w:r>
            <w:proofErr w:type="spellEnd"/>
            <w:r w:rsidRPr="008757A7">
              <w:rPr>
                <w:sz w:val="28"/>
                <w:szCs w:val="28"/>
                <w:lang w:val="uk-UA"/>
              </w:rPr>
              <w:t xml:space="preserve"> із шкідливим впливом на довкілля.</w:t>
            </w:r>
          </w:p>
          <w:p w:rsidR="004A0684" w:rsidRPr="008757A7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</w:p>
        </w:tc>
      </w:tr>
      <w:tr w:rsidR="004A0684" w:rsidRPr="008757A7" w:rsidTr="00386B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8757A7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7F33" w:rsidRPr="008757A7" w:rsidRDefault="000B7F33" w:rsidP="000B7F33">
            <w:pPr>
              <w:tabs>
                <w:tab w:val="left" w:pos="9540"/>
              </w:tabs>
              <w:jc w:val="both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Усунення шкідливого впливу на довкілля.</w:t>
            </w:r>
          </w:p>
          <w:p w:rsidR="004A0684" w:rsidRPr="008757A7" w:rsidRDefault="000B7F33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 xml:space="preserve">Визначення методів знищення, утилізації кормів, повернення їх в обіг для </w:t>
            </w:r>
            <w:r w:rsidRPr="008757A7">
              <w:rPr>
                <w:sz w:val="28"/>
                <w:szCs w:val="28"/>
                <w:lang w:val="uk-UA"/>
              </w:rPr>
              <w:lastRenderedPageBreak/>
              <w:t>годівлі тварин або для інших, ніж годівля тварин, цілей.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84" w:rsidRPr="008757A7" w:rsidRDefault="000B7F33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lastRenderedPageBreak/>
              <w:t>Відсутні.</w:t>
            </w:r>
          </w:p>
        </w:tc>
      </w:tr>
    </w:tbl>
    <w:p w:rsidR="00F410E4" w:rsidRPr="008757A7" w:rsidRDefault="00F410E4" w:rsidP="00331B4A">
      <w:pPr>
        <w:pStyle w:val="10"/>
        <w:ind w:left="-6" w:firstLine="871"/>
        <w:rPr>
          <w:lang w:val="uk-UA"/>
        </w:rPr>
      </w:pPr>
    </w:p>
    <w:p w:rsidR="00414832" w:rsidRPr="008757A7" w:rsidRDefault="00414832" w:rsidP="00331B4A">
      <w:pPr>
        <w:ind w:left="-6" w:firstLine="871"/>
        <w:jc w:val="both"/>
        <w:rPr>
          <w:lang w:val="uk-UA"/>
        </w:rPr>
      </w:pPr>
      <w:r w:rsidRPr="008757A7">
        <w:rPr>
          <w:b/>
          <w:i/>
          <w:sz w:val="28"/>
          <w:szCs w:val="28"/>
          <w:highlight w:val="white"/>
          <w:lang w:val="uk-UA"/>
        </w:rPr>
        <w:t>Оцінка впливу на сферу інтересів суб’єктів господарювання</w:t>
      </w:r>
    </w:p>
    <w:p w:rsidR="00414832" w:rsidRPr="008757A7" w:rsidRDefault="00414832" w:rsidP="00331B4A">
      <w:pPr>
        <w:ind w:left="-6" w:firstLine="871"/>
        <w:jc w:val="both"/>
        <w:rPr>
          <w:lang w:val="uk-UA"/>
        </w:rPr>
      </w:pPr>
      <w:r w:rsidRPr="008757A7">
        <w:rPr>
          <w:sz w:val="28"/>
          <w:szCs w:val="28"/>
          <w:highlight w:val="white"/>
          <w:lang w:val="uk-UA"/>
        </w:rPr>
        <w:t xml:space="preserve"> </w:t>
      </w:r>
    </w:p>
    <w:tbl>
      <w:tblPr>
        <w:tblW w:w="96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969"/>
        <w:gridCol w:w="1140"/>
        <w:gridCol w:w="1260"/>
        <w:gridCol w:w="930"/>
        <w:gridCol w:w="1080"/>
        <w:gridCol w:w="1260"/>
      </w:tblGrid>
      <w:tr w:rsidR="00414832" w:rsidRPr="008757A7" w:rsidTr="00013ACE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Показник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Великі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Середні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Малі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Мікро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Разом</w:t>
            </w:r>
          </w:p>
        </w:tc>
      </w:tr>
      <w:tr w:rsidR="00414832" w:rsidRPr="008757A7" w:rsidTr="00013ACE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3690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3613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7340</w:t>
            </w:r>
          </w:p>
        </w:tc>
      </w:tr>
      <w:tr w:rsidR="00414832" w:rsidRPr="008757A7" w:rsidTr="00013ACE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Питома вага групи у загальній кількості ( у відсотках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50,27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49,22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414832" w:rsidRPr="008757A7" w:rsidRDefault="00414832" w:rsidP="00331B4A">
      <w:pPr>
        <w:ind w:left="-6" w:firstLine="871"/>
        <w:jc w:val="both"/>
        <w:rPr>
          <w:lang w:val="uk-UA"/>
        </w:rPr>
      </w:pPr>
    </w:p>
    <w:tbl>
      <w:tblPr>
        <w:tblW w:w="963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300"/>
        <w:gridCol w:w="3444"/>
      </w:tblGrid>
      <w:tr w:rsidR="00414832" w:rsidRPr="008757A7" w:rsidTr="00331B4A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414832" w:rsidRPr="008757A7" w:rsidTr="00331B4A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C3" w:rsidRPr="008757A7" w:rsidRDefault="00C546C3" w:rsidP="00331B4A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Відсутні.</w:t>
            </w:r>
          </w:p>
          <w:p w:rsidR="004C6B70" w:rsidRPr="008757A7" w:rsidRDefault="004C6B70" w:rsidP="00331B4A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</w:p>
          <w:p w:rsidR="00414832" w:rsidRPr="008757A7" w:rsidRDefault="00414832" w:rsidP="00331B4A">
            <w:pPr>
              <w:ind w:left="-6"/>
              <w:rPr>
                <w:lang w:val="uk-UA"/>
              </w:rPr>
            </w:pPr>
          </w:p>
        </w:tc>
        <w:tc>
          <w:tcPr>
            <w:tcW w:w="34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B70" w:rsidRPr="008757A7" w:rsidRDefault="004C6B70" w:rsidP="00331B4A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Витрати </w:t>
            </w:r>
            <w:proofErr w:type="spellStart"/>
            <w:r w:rsidRPr="008757A7">
              <w:rPr>
                <w:sz w:val="28"/>
                <w:szCs w:val="28"/>
                <w:highlight w:val="white"/>
                <w:lang w:val="uk-UA"/>
              </w:rPr>
              <w:t>повʼ</w:t>
            </w:r>
            <w:r w:rsidR="00933076" w:rsidRPr="008757A7">
              <w:rPr>
                <w:sz w:val="28"/>
                <w:szCs w:val="28"/>
                <w:highlight w:val="white"/>
                <w:lang w:val="uk-UA"/>
              </w:rPr>
              <w:t>язані</w:t>
            </w:r>
            <w:proofErr w:type="spellEnd"/>
            <w:r w:rsidR="00933076" w:rsidRPr="008757A7">
              <w:rPr>
                <w:sz w:val="28"/>
                <w:szCs w:val="28"/>
                <w:highlight w:val="white"/>
                <w:lang w:val="uk-UA"/>
              </w:rPr>
              <w:t xml:space="preserve"> із необхідністю до</w:t>
            </w: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тримуватись процедур та вимог, які не визначені законодавством. </w:t>
            </w:r>
          </w:p>
          <w:p w:rsidR="00414832" w:rsidRPr="008757A7" w:rsidRDefault="004C6B70" w:rsidP="00933076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Загальне адміністративне навантаження зі сторони контролюючих органів у </w:t>
            </w:r>
            <w:proofErr w:type="spellStart"/>
            <w:r w:rsidRPr="008757A7">
              <w:rPr>
                <w:sz w:val="28"/>
                <w:szCs w:val="28"/>
                <w:highlight w:val="white"/>
                <w:lang w:val="uk-UA"/>
              </w:rPr>
              <w:t>звʼязку</w:t>
            </w:r>
            <w:proofErr w:type="spellEnd"/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 із неврегульованістю порядку</w:t>
            </w:r>
            <w:r w:rsidRPr="008757A7">
              <w:rPr>
                <w:sz w:val="28"/>
                <w:szCs w:val="28"/>
                <w:lang w:val="uk-UA"/>
              </w:rPr>
              <w:t xml:space="preserve"> знищення, утилізації кормів.</w:t>
            </w:r>
            <w:r w:rsidR="00933076" w:rsidRPr="008757A7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</w:tr>
      <w:tr w:rsidR="00414832" w:rsidRPr="008757A7" w:rsidTr="00331B4A"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832" w:rsidRPr="008757A7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933076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Зменшення адміністративного навантаження через </w:t>
            </w:r>
            <w:r w:rsidR="00933076" w:rsidRPr="008757A7">
              <w:rPr>
                <w:sz w:val="28"/>
                <w:szCs w:val="28"/>
                <w:highlight w:val="white"/>
                <w:lang w:val="uk-UA"/>
              </w:rPr>
              <w:t>встановлення порядку</w:t>
            </w:r>
            <w:r w:rsidR="00933076" w:rsidRPr="008757A7">
              <w:rPr>
                <w:sz w:val="28"/>
                <w:szCs w:val="28"/>
                <w:lang w:val="uk-UA"/>
              </w:rPr>
              <w:t xml:space="preserve"> знищення, утилізації кормів.</w:t>
            </w:r>
            <w:r w:rsidR="00933076" w:rsidRPr="008757A7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414832" w:rsidRPr="008757A7" w:rsidRDefault="00933076" w:rsidP="00933076">
            <w:pPr>
              <w:tabs>
                <w:tab w:val="left" w:pos="9540"/>
              </w:tabs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Відсутність необхідності дотримуватись процедур та вимог, які не визначені законодавством. </w:t>
            </w:r>
            <w:r w:rsidR="00414832" w:rsidRPr="008757A7">
              <w:rPr>
                <w:sz w:val="28"/>
                <w:szCs w:val="28"/>
                <w:highlight w:val="white"/>
                <w:lang w:val="uk-UA"/>
              </w:rPr>
              <w:t xml:space="preserve">Отримання більшого рівня свободи та відповідно можливість більш вільного розпорядження </w:t>
            </w:r>
            <w:r w:rsidR="00414832" w:rsidRPr="008757A7">
              <w:rPr>
                <w:sz w:val="28"/>
                <w:szCs w:val="28"/>
                <w:highlight w:val="white"/>
                <w:lang w:val="uk-UA"/>
              </w:rPr>
              <w:lastRenderedPageBreak/>
              <w:t>ресурсами.</w:t>
            </w:r>
          </w:p>
        </w:tc>
        <w:tc>
          <w:tcPr>
            <w:tcW w:w="3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8757A7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lastRenderedPageBreak/>
              <w:t>Порівняно невеликі разові витрати на перегляд внутрішніх процедур.</w:t>
            </w:r>
          </w:p>
          <w:p w:rsidR="00414832" w:rsidRPr="008757A7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</w:p>
        </w:tc>
      </w:tr>
    </w:tbl>
    <w:p w:rsidR="00F410E4" w:rsidRPr="008757A7" w:rsidRDefault="00F410E4" w:rsidP="00331B4A">
      <w:pPr>
        <w:pStyle w:val="10"/>
        <w:ind w:left="-6" w:firstLine="871"/>
        <w:jc w:val="both"/>
        <w:rPr>
          <w:lang w:val="uk-UA"/>
        </w:rPr>
      </w:pPr>
      <w:r w:rsidRPr="008757A7">
        <w:rPr>
          <w:sz w:val="28"/>
          <w:szCs w:val="28"/>
          <w:highlight w:val="white"/>
          <w:lang w:val="uk-UA"/>
        </w:rPr>
        <w:t xml:space="preserve">Слід також враховувати, що значна кількість </w:t>
      </w:r>
      <w:r w:rsidR="00FC6005" w:rsidRPr="008757A7">
        <w:rPr>
          <w:sz w:val="28"/>
          <w:szCs w:val="28"/>
          <w:highlight w:val="white"/>
          <w:lang w:val="uk-UA"/>
        </w:rPr>
        <w:t>кормів виробляється в господарствах</w:t>
      </w:r>
      <w:r w:rsidRPr="008757A7">
        <w:rPr>
          <w:sz w:val="28"/>
          <w:szCs w:val="28"/>
          <w:highlight w:val="white"/>
          <w:lang w:val="uk-UA"/>
        </w:rPr>
        <w:t xml:space="preserve"> населення, кількість яких наразі не обліковується, проте які теж зазнають збитків у ви</w:t>
      </w:r>
      <w:r w:rsidR="00CB1C36" w:rsidRPr="008757A7">
        <w:rPr>
          <w:sz w:val="28"/>
          <w:szCs w:val="28"/>
          <w:highlight w:val="white"/>
          <w:lang w:val="uk-UA"/>
        </w:rPr>
        <w:t>падку</w:t>
      </w:r>
      <w:r w:rsidRPr="008757A7">
        <w:rPr>
          <w:sz w:val="28"/>
          <w:szCs w:val="28"/>
          <w:highlight w:val="white"/>
          <w:lang w:val="uk-UA"/>
        </w:rPr>
        <w:t>.</w:t>
      </w:r>
    </w:p>
    <w:p w:rsidR="00F410E4" w:rsidRPr="008757A7" w:rsidRDefault="00F410E4" w:rsidP="00331B4A">
      <w:pPr>
        <w:pStyle w:val="10"/>
        <w:ind w:left="-6" w:firstLine="871"/>
        <w:jc w:val="both"/>
        <w:rPr>
          <w:lang w:val="uk-UA"/>
        </w:rPr>
      </w:pPr>
    </w:p>
    <w:p w:rsidR="00570947" w:rsidRPr="008757A7" w:rsidRDefault="00570947" w:rsidP="00331B4A">
      <w:pPr>
        <w:pStyle w:val="10"/>
        <w:ind w:left="450"/>
        <w:jc w:val="center"/>
        <w:rPr>
          <w:b/>
          <w:sz w:val="28"/>
          <w:szCs w:val="28"/>
          <w:highlight w:val="white"/>
          <w:lang w:val="uk-UA"/>
        </w:rPr>
      </w:pPr>
      <w:r w:rsidRPr="008757A7">
        <w:rPr>
          <w:b/>
          <w:sz w:val="28"/>
          <w:szCs w:val="28"/>
          <w:highlight w:val="white"/>
          <w:lang w:val="uk-UA"/>
        </w:rPr>
        <w:t>IV. Вибір найбільш оптимального альтернативного способу досягнення цілей</w:t>
      </w:r>
    </w:p>
    <w:p w:rsidR="00F410E4" w:rsidRPr="008757A7" w:rsidRDefault="00F410E4" w:rsidP="00331B4A">
      <w:pPr>
        <w:pStyle w:val="10"/>
        <w:ind w:left="450"/>
        <w:jc w:val="center"/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00"/>
        <w:gridCol w:w="5115"/>
      </w:tblGrid>
      <w:tr w:rsidR="002918C4" w:rsidRPr="008757A7" w:rsidTr="00331B4A">
        <w:tc>
          <w:tcPr>
            <w:tcW w:w="3024" w:type="dxa"/>
          </w:tcPr>
          <w:p w:rsidR="002918C4" w:rsidRPr="008757A7" w:rsidRDefault="002918C4" w:rsidP="00331B4A">
            <w:pPr>
              <w:jc w:val="center"/>
              <w:rPr>
                <w:sz w:val="26"/>
                <w:szCs w:val="26"/>
                <w:lang w:val="uk-UA"/>
              </w:rPr>
            </w:pPr>
            <w:r w:rsidRPr="008757A7">
              <w:rPr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00" w:type="dxa"/>
          </w:tcPr>
          <w:p w:rsidR="002918C4" w:rsidRPr="008757A7" w:rsidRDefault="002918C4" w:rsidP="00331B4A">
            <w:pPr>
              <w:jc w:val="center"/>
              <w:rPr>
                <w:sz w:val="26"/>
                <w:szCs w:val="26"/>
                <w:lang w:val="uk-UA"/>
              </w:rPr>
            </w:pPr>
            <w:r w:rsidRPr="008757A7">
              <w:rPr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5115" w:type="dxa"/>
          </w:tcPr>
          <w:p w:rsidR="002918C4" w:rsidRPr="008757A7" w:rsidRDefault="002918C4" w:rsidP="00331B4A">
            <w:pPr>
              <w:jc w:val="center"/>
              <w:rPr>
                <w:sz w:val="26"/>
                <w:szCs w:val="26"/>
                <w:lang w:val="uk-UA"/>
              </w:rPr>
            </w:pPr>
            <w:r w:rsidRPr="008757A7">
              <w:rPr>
                <w:sz w:val="26"/>
                <w:szCs w:val="26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8757A7">
              <w:rPr>
                <w:sz w:val="26"/>
                <w:szCs w:val="26"/>
                <w:lang w:val="uk-UA"/>
              </w:rPr>
              <w:t>бала</w:t>
            </w:r>
            <w:proofErr w:type="spellEnd"/>
          </w:p>
        </w:tc>
      </w:tr>
      <w:tr w:rsidR="002918C4" w:rsidRPr="008757A7" w:rsidTr="00331B4A">
        <w:tc>
          <w:tcPr>
            <w:tcW w:w="3024" w:type="dxa"/>
          </w:tcPr>
          <w:p w:rsidR="002918C4" w:rsidRPr="008757A7" w:rsidRDefault="002918C4" w:rsidP="00933076">
            <w:pPr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1500" w:type="dxa"/>
          </w:tcPr>
          <w:p w:rsidR="002918C4" w:rsidRPr="008757A7" w:rsidRDefault="002918C4" w:rsidP="003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15" w:type="dxa"/>
          </w:tcPr>
          <w:p w:rsidR="002918C4" w:rsidRPr="008757A7" w:rsidRDefault="002918C4" w:rsidP="00331B4A">
            <w:pPr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 xml:space="preserve">Спосіб сумнівний, оскільки </w:t>
            </w:r>
            <w:r w:rsidR="00DE0281" w:rsidRPr="008757A7">
              <w:rPr>
                <w:sz w:val="28"/>
                <w:szCs w:val="28"/>
                <w:lang w:val="uk-UA"/>
              </w:rPr>
              <w:t>не</w:t>
            </w:r>
            <w:r w:rsidRPr="008757A7">
              <w:rPr>
                <w:sz w:val="28"/>
                <w:szCs w:val="28"/>
                <w:lang w:val="uk-UA"/>
              </w:rPr>
              <w:t xml:space="preserve"> вирішує проблему.</w:t>
            </w:r>
            <w:r w:rsidR="00933076" w:rsidRPr="008757A7">
              <w:rPr>
                <w:sz w:val="28"/>
                <w:szCs w:val="28"/>
                <w:lang w:val="uk-UA"/>
              </w:rPr>
              <w:t xml:space="preserve"> Має низький рейтинг результативності, оскільки відсутність механізмів реалізації вимог Закону не дозволяє вирішити проблему.</w:t>
            </w:r>
          </w:p>
          <w:p w:rsidR="002918C4" w:rsidRPr="008757A7" w:rsidRDefault="002918C4" w:rsidP="00331B4A">
            <w:pPr>
              <w:jc w:val="both"/>
              <w:rPr>
                <w:lang w:val="uk-UA"/>
              </w:rPr>
            </w:pPr>
          </w:p>
        </w:tc>
      </w:tr>
      <w:tr w:rsidR="002918C4" w:rsidRPr="008757A7" w:rsidTr="00331B4A">
        <w:tc>
          <w:tcPr>
            <w:tcW w:w="3024" w:type="dxa"/>
          </w:tcPr>
          <w:p w:rsidR="00933076" w:rsidRPr="008757A7" w:rsidRDefault="00933076" w:rsidP="00331B4A">
            <w:pPr>
              <w:jc w:val="both"/>
              <w:rPr>
                <w:sz w:val="28"/>
                <w:szCs w:val="28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2</w:t>
            </w:r>
          </w:p>
          <w:p w:rsidR="002918C4" w:rsidRPr="008757A7" w:rsidRDefault="002918C4" w:rsidP="00331B4A">
            <w:pPr>
              <w:jc w:val="both"/>
              <w:rPr>
                <w:lang w:val="uk-UA"/>
              </w:rPr>
            </w:pPr>
          </w:p>
        </w:tc>
        <w:tc>
          <w:tcPr>
            <w:tcW w:w="1500" w:type="dxa"/>
          </w:tcPr>
          <w:p w:rsidR="002918C4" w:rsidRPr="008757A7" w:rsidRDefault="002918C4" w:rsidP="003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15" w:type="dxa"/>
          </w:tcPr>
          <w:p w:rsidR="00933076" w:rsidRPr="008757A7" w:rsidRDefault="002918C4" w:rsidP="00933076">
            <w:pPr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 xml:space="preserve">Запропонований спосіб вирішення зазначеної проблеми є найбільш доцільним та адекватним з огляду на можливість досягнення цілей достатнього спрощення державного регулювання та створення єдиного нормативно-правового поля ветеринарно-санітарних вимог для операторів ринку </w:t>
            </w:r>
            <w:r w:rsidR="00DE0281" w:rsidRPr="008757A7">
              <w:rPr>
                <w:sz w:val="28"/>
                <w:szCs w:val="28"/>
                <w:lang w:val="uk-UA"/>
              </w:rPr>
              <w:t>кормів</w:t>
            </w:r>
            <w:r w:rsidRPr="008757A7">
              <w:rPr>
                <w:sz w:val="28"/>
                <w:szCs w:val="28"/>
                <w:lang w:val="uk-UA"/>
              </w:rPr>
              <w:t>.</w:t>
            </w:r>
            <w:r w:rsidR="00933076" w:rsidRPr="008757A7">
              <w:rPr>
                <w:sz w:val="28"/>
                <w:szCs w:val="28"/>
                <w:lang w:val="uk-UA"/>
              </w:rPr>
              <w:t xml:space="preserve"> Прийняття пропонованого проекту наказу </w:t>
            </w:r>
            <w:r w:rsidR="00582D23">
              <w:rPr>
                <w:sz w:val="28"/>
                <w:szCs w:val="28"/>
                <w:lang w:val="uk-UA"/>
              </w:rPr>
              <w:t>Мінекономіки</w:t>
            </w:r>
            <w:r w:rsidR="00933076" w:rsidRPr="008757A7">
              <w:rPr>
                <w:sz w:val="28"/>
                <w:szCs w:val="28"/>
                <w:lang w:val="uk-UA"/>
              </w:rPr>
              <w:t xml:space="preserve"> має високий рейтинг результативності серед альтернатив, оскільки дозволяє застосовувати  необхідний перелік ветеринарно-санітарних вимог при виробництві та обігу кормів. </w:t>
            </w:r>
          </w:p>
          <w:p w:rsidR="002918C4" w:rsidRPr="008757A7" w:rsidRDefault="00933076" w:rsidP="00933076">
            <w:pPr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Також передбачається одночасне додавання  зручності регулюванню як для операторів ринку, так і для державних інспекторів.</w:t>
            </w:r>
          </w:p>
        </w:tc>
      </w:tr>
    </w:tbl>
    <w:p w:rsidR="00F410E4" w:rsidRPr="008757A7" w:rsidRDefault="00F410E4" w:rsidP="00331B4A">
      <w:pPr>
        <w:pStyle w:val="10"/>
        <w:rPr>
          <w:lang w:val="uk-UA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  <w:gridCol w:w="2339"/>
        <w:gridCol w:w="2624"/>
      </w:tblGrid>
      <w:tr w:rsidR="002918C4" w:rsidRPr="008757A7" w:rsidTr="00331B4A"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Рейтинг результативності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Вигоди (підсумок)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Витрати (підсумок)</w:t>
            </w:r>
          </w:p>
        </w:tc>
        <w:tc>
          <w:tcPr>
            <w:tcW w:w="2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 xml:space="preserve">Обґрунтування відповідного місця альтернативи у </w:t>
            </w:r>
            <w:r w:rsidRPr="008757A7">
              <w:rPr>
                <w:sz w:val="28"/>
                <w:szCs w:val="28"/>
                <w:highlight w:val="white"/>
                <w:lang w:val="uk-UA"/>
              </w:rPr>
              <w:lastRenderedPageBreak/>
              <w:t>рейтингу</w:t>
            </w:r>
          </w:p>
        </w:tc>
      </w:tr>
      <w:tr w:rsidR="002918C4" w:rsidRPr="008757A7" w:rsidTr="00331B4A"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lastRenderedPageBreak/>
              <w:t>Альтернатива 1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Вирішення частини проблем, пов</w:t>
            </w:r>
            <w:r w:rsidRPr="008757A7">
              <w:rPr>
                <w:sz w:val="28"/>
                <w:szCs w:val="28"/>
                <w:lang w:val="uk-UA"/>
              </w:rPr>
              <w:t>’язаних із недосконалістю регулювання та можливість сформувати нормативи для забезпечення експорту.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Збереження витрат на дотримання надмірних вимог регулювання.</w:t>
            </w:r>
          </w:p>
        </w:tc>
        <w:tc>
          <w:tcPr>
            <w:tcW w:w="2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Рейтинг низький через часткове вирішення існуючих проблем.</w:t>
            </w:r>
          </w:p>
        </w:tc>
      </w:tr>
      <w:tr w:rsidR="002918C4" w:rsidRPr="008757A7" w:rsidTr="00331B4A"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Альтернатива 2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Зменшення конфліктів між контролюючими органами та бізнесом.</w:t>
            </w:r>
          </w:p>
          <w:p w:rsidR="002918C4" w:rsidRPr="008757A7" w:rsidRDefault="002918C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Орієнтування на виробництво більш якісного та безпечного продукту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Незначні витрати на ознайомлення зі зміненими вимогами.</w:t>
            </w:r>
          </w:p>
        </w:tc>
        <w:tc>
          <w:tcPr>
            <w:tcW w:w="2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highlight w:val="white"/>
                <w:lang w:val="uk-UA"/>
              </w:rPr>
              <w:t>Рейтинг високий, оскільки прийняття пропонованого проекту наказу дозволяє найбільш повно підійти до розв</w:t>
            </w:r>
            <w:r w:rsidRPr="008757A7">
              <w:rPr>
                <w:sz w:val="28"/>
                <w:szCs w:val="28"/>
                <w:lang w:val="uk-UA"/>
              </w:rPr>
              <w:t>’</w:t>
            </w:r>
            <w:r w:rsidRPr="008757A7">
              <w:rPr>
                <w:sz w:val="28"/>
                <w:szCs w:val="28"/>
                <w:highlight w:val="white"/>
                <w:lang w:val="uk-UA"/>
              </w:rPr>
              <w:t>язання існуючих проблем.</w:t>
            </w:r>
          </w:p>
        </w:tc>
      </w:tr>
    </w:tbl>
    <w:p w:rsidR="002918C4" w:rsidRPr="008757A7" w:rsidRDefault="002918C4" w:rsidP="00331B4A">
      <w:pPr>
        <w:pStyle w:val="10"/>
        <w:ind w:left="450"/>
        <w:jc w:val="center"/>
        <w:rPr>
          <w:lang w:val="uk-UA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8"/>
        <w:gridCol w:w="4003"/>
        <w:gridCol w:w="3418"/>
      </w:tblGrid>
      <w:tr w:rsidR="002918C4" w:rsidRPr="008757A7" w:rsidTr="00331B4A">
        <w:tc>
          <w:tcPr>
            <w:tcW w:w="2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ind w:firstLine="708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41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757A7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2918C4" w:rsidRPr="008757A7" w:rsidTr="00331B4A"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1  рейтинг низький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E85474" w:rsidP="00331B4A">
            <w:pPr>
              <w:jc w:val="both"/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Відсутність</w:t>
            </w:r>
            <w:r w:rsidR="002918C4" w:rsidRPr="008757A7">
              <w:rPr>
                <w:sz w:val="28"/>
                <w:szCs w:val="28"/>
                <w:lang w:val="uk-UA"/>
              </w:rPr>
              <w:t xml:space="preserve"> регуляторних документів вже призвело до виникнення проблем із застосуванням ветеринарно-санітарних вимог. Створення додаткового регулювання, що створюватиме різні вимоги, здатне вирішити окрему проблему, проте ускладнить систему контролю за їх дотриманням та підвищить ризики помилок при дот</w:t>
            </w:r>
            <w:r w:rsidR="00575BB1" w:rsidRPr="008757A7">
              <w:rPr>
                <w:sz w:val="28"/>
                <w:szCs w:val="28"/>
                <w:lang w:val="uk-UA"/>
              </w:rPr>
              <w:t>риманні різних вимог одночасно.</w:t>
            </w:r>
          </w:p>
        </w:tc>
        <w:tc>
          <w:tcPr>
            <w:tcW w:w="3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Вплив зовнішніх чинників вбачається незначним, ризики низькі.</w:t>
            </w:r>
          </w:p>
        </w:tc>
      </w:tr>
      <w:tr w:rsidR="002918C4" w:rsidRPr="008757A7" w:rsidTr="00331B4A"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t>Альтернатива 2</w:t>
            </w:r>
          </w:p>
          <w:p w:rsidR="002918C4" w:rsidRPr="008757A7" w:rsidRDefault="002918C4" w:rsidP="00331B4A">
            <w:pPr>
              <w:rPr>
                <w:lang w:val="uk-UA"/>
              </w:rPr>
            </w:pPr>
          </w:p>
        </w:tc>
        <w:tc>
          <w:tcPr>
            <w:tcW w:w="4003" w:type="dxa"/>
          </w:tcPr>
          <w:p w:rsidR="002918C4" w:rsidRPr="008757A7" w:rsidRDefault="002918C4" w:rsidP="00A90FD0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lastRenderedPageBreak/>
              <w:t xml:space="preserve">Запропонований спосіб </w:t>
            </w:r>
            <w:r w:rsidRPr="008757A7">
              <w:rPr>
                <w:sz w:val="28"/>
                <w:szCs w:val="28"/>
                <w:lang w:val="uk-UA"/>
              </w:rPr>
              <w:lastRenderedPageBreak/>
              <w:t xml:space="preserve">вирішення зазначеної проблеми є найбільш доцільним та адекватним з огляду на можливість </w:t>
            </w:r>
            <w:r w:rsidR="00933076" w:rsidRPr="008757A7">
              <w:rPr>
                <w:sz w:val="28"/>
                <w:szCs w:val="28"/>
                <w:lang w:val="uk-UA"/>
              </w:rPr>
              <w:t xml:space="preserve">визначити чіткий </w:t>
            </w:r>
            <w:r w:rsidR="00933076" w:rsidRPr="008757A7">
              <w:rPr>
                <w:sz w:val="28"/>
                <w:szCs w:val="28"/>
                <w:highlight w:val="white"/>
                <w:lang w:val="uk-UA"/>
              </w:rPr>
              <w:t>порядок</w:t>
            </w:r>
            <w:r w:rsidR="00933076" w:rsidRPr="008757A7">
              <w:rPr>
                <w:sz w:val="28"/>
                <w:szCs w:val="28"/>
                <w:lang w:val="uk-UA"/>
              </w:rPr>
              <w:t xml:space="preserve"> знищення, утилізації кормів</w:t>
            </w:r>
            <w:r w:rsidRPr="008757A7">
              <w:rPr>
                <w:sz w:val="28"/>
                <w:szCs w:val="28"/>
                <w:lang w:val="uk-UA"/>
              </w:rPr>
              <w:t>, а також виконати відповідні зобов’язання України щодо гармонізації санітарних та фітосанітарних заходів.</w:t>
            </w:r>
          </w:p>
        </w:tc>
        <w:tc>
          <w:tcPr>
            <w:tcW w:w="3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8757A7" w:rsidRDefault="002918C4" w:rsidP="00331B4A">
            <w:pPr>
              <w:rPr>
                <w:lang w:val="uk-UA"/>
              </w:rPr>
            </w:pPr>
            <w:r w:rsidRPr="008757A7">
              <w:rPr>
                <w:sz w:val="28"/>
                <w:szCs w:val="28"/>
                <w:lang w:val="uk-UA"/>
              </w:rPr>
              <w:lastRenderedPageBreak/>
              <w:t xml:space="preserve">Вплив зовнішніх чинників </w:t>
            </w:r>
            <w:r w:rsidRPr="008757A7">
              <w:rPr>
                <w:sz w:val="28"/>
                <w:szCs w:val="28"/>
                <w:lang w:val="uk-UA"/>
              </w:rPr>
              <w:lastRenderedPageBreak/>
              <w:t>вбачається незначним, ризики низькі.</w:t>
            </w:r>
          </w:p>
        </w:tc>
      </w:tr>
    </w:tbl>
    <w:p w:rsidR="00F410E4" w:rsidRPr="008757A7" w:rsidRDefault="00F410E4" w:rsidP="00331B4A">
      <w:pPr>
        <w:pStyle w:val="10"/>
        <w:ind w:left="450"/>
        <w:jc w:val="center"/>
        <w:rPr>
          <w:lang w:val="uk-UA"/>
        </w:rPr>
      </w:pPr>
    </w:p>
    <w:p w:rsidR="00F410E4" w:rsidRPr="008757A7" w:rsidRDefault="002918C4" w:rsidP="00861E50">
      <w:pPr>
        <w:ind w:firstLine="708"/>
        <w:jc w:val="center"/>
        <w:rPr>
          <w:lang w:val="uk-UA"/>
        </w:rPr>
      </w:pPr>
      <w:r w:rsidRPr="008757A7">
        <w:rPr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4027DF" w:rsidRPr="008757A7" w:rsidRDefault="004027DF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Для розв’язання проблем визначених у розділі І, </w:t>
      </w:r>
      <w:r w:rsidR="00D21A4A" w:rsidRPr="008757A7">
        <w:rPr>
          <w:sz w:val="28"/>
          <w:szCs w:val="28"/>
          <w:lang w:val="uk-UA"/>
        </w:rPr>
        <w:t xml:space="preserve">розроблено проект наказу, яким запроваджується </w:t>
      </w:r>
      <w:r w:rsidRPr="008757A7">
        <w:rPr>
          <w:sz w:val="28"/>
          <w:szCs w:val="28"/>
          <w:lang w:val="uk-UA"/>
        </w:rPr>
        <w:t xml:space="preserve">підхід до регулювання, за яким встановлюються лише мінімально необхідні вимоги (еквівалентні аналогічним вимогам ЄС), що дає </w:t>
      </w:r>
      <w:r w:rsidR="00D21A4A" w:rsidRPr="008757A7">
        <w:rPr>
          <w:sz w:val="28"/>
          <w:szCs w:val="28"/>
          <w:lang w:val="uk-UA"/>
        </w:rPr>
        <w:t>можливі</w:t>
      </w:r>
      <w:r w:rsidRPr="008757A7">
        <w:rPr>
          <w:sz w:val="28"/>
          <w:szCs w:val="28"/>
          <w:lang w:val="uk-UA"/>
        </w:rPr>
        <w:t>ст</w:t>
      </w:r>
      <w:r w:rsidR="00D21A4A" w:rsidRPr="008757A7">
        <w:rPr>
          <w:sz w:val="28"/>
          <w:szCs w:val="28"/>
          <w:lang w:val="uk-UA"/>
        </w:rPr>
        <w:t>ь</w:t>
      </w:r>
      <w:r w:rsidRPr="008757A7">
        <w:rPr>
          <w:sz w:val="28"/>
          <w:szCs w:val="28"/>
          <w:lang w:val="uk-UA"/>
        </w:rPr>
        <w:t xml:space="preserve"> суб’єктам господарювання дотримуватися вете</w:t>
      </w:r>
      <w:r w:rsidR="00D21A4A" w:rsidRPr="008757A7">
        <w:rPr>
          <w:sz w:val="28"/>
          <w:szCs w:val="28"/>
          <w:lang w:val="uk-UA"/>
        </w:rPr>
        <w:t>ринарно-санітарних вимог у зручний та ощадливий спосіб.</w:t>
      </w:r>
    </w:p>
    <w:p w:rsidR="00FE4F28" w:rsidRPr="008757A7" w:rsidRDefault="004027DF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Проект наказу </w:t>
      </w:r>
      <w:r w:rsidR="00D21A4A" w:rsidRPr="008757A7">
        <w:rPr>
          <w:sz w:val="28"/>
          <w:szCs w:val="28"/>
          <w:lang w:val="uk-UA"/>
        </w:rPr>
        <w:t>впроваджує механізми реалізації положень Закону направлені на гарантування безпечності кормів</w:t>
      </w:r>
      <w:r w:rsidRPr="008757A7">
        <w:rPr>
          <w:sz w:val="28"/>
          <w:szCs w:val="28"/>
          <w:lang w:val="uk-UA"/>
        </w:rPr>
        <w:t xml:space="preserve">, </w:t>
      </w:r>
      <w:r w:rsidR="00FE4F28" w:rsidRPr="008757A7">
        <w:rPr>
          <w:sz w:val="28"/>
          <w:szCs w:val="28"/>
          <w:lang w:val="uk-UA"/>
        </w:rPr>
        <w:t>зокрема шляхом:</w:t>
      </w:r>
    </w:p>
    <w:p w:rsidR="007D753F" w:rsidRPr="008757A7" w:rsidRDefault="007D753F" w:rsidP="007D753F">
      <w:pPr>
        <w:ind w:right="-142"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затвердження </w:t>
      </w:r>
      <w:r w:rsidR="00386FB6" w:rsidRPr="008757A7">
        <w:rPr>
          <w:sz w:val="28"/>
          <w:szCs w:val="28"/>
          <w:lang w:val="uk-UA"/>
        </w:rPr>
        <w:t>Порядку знищення, утилізації кормів, повернення їх в обіг для годівлі тварин або для інших, ніж годівля тварин, цілей</w:t>
      </w:r>
      <w:r w:rsidRPr="008757A7">
        <w:rPr>
          <w:sz w:val="28"/>
          <w:szCs w:val="28"/>
          <w:lang w:val="uk-UA"/>
        </w:rPr>
        <w:t>.</w:t>
      </w:r>
    </w:p>
    <w:p w:rsidR="004027DF" w:rsidRPr="008757A7" w:rsidRDefault="004027DF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У відповідності до усталеної практики, що впроваджується в Україні, організація роботи по забезпеченню виконання ветеринарно-санітарних вимог щодо </w:t>
      </w:r>
      <w:r w:rsidR="00FE4F28" w:rsidRPr="008757A7">
        <w:rPr>
          <w:sz w:val="28"/>
          <w:szCs w:val="28"/>
          <w:lang w:val="uk-UA"/>
        </w:rPr>
        <w:t>безпечності кормів</w:t>
      </w:r>
      <w:r w:rsidRPr="008757A7">
        <w:rPr>
          <w:sz w:val="28"/>
          <w:szCs w:val="28"/>
          <w:lang w:val="uk-UA"/>
        </w:rPr>
        <w:t xml:space="preserve">, а також відповідальність за це покладається на відповідних операторів ринку. Відповідно до європейської практики запроваджується обов’язок операторів ринку щодо інформування компетентного органу про випадки невідповідності </w:t>
      </w:r>
      <w:r w:rsidR="00FE4F28" w:rsidRPr="008757A7">
        <w:rPr>
          <w:sz w:val="28"/>
          <w:szCs w:val="28"/>
          <w:lang w:val="uk-UA"/>
        </w:rPr>
        <w:t>кормів</w:t>
      </w:r>
      <w:r w:rsidRPr="008757A7">
        <w:rPr>
          <w:sz w:val="28"/>
          <w:szCs w:val="28"/>
          <w:lang w:val="uk-UA"/>
        </w:rPr>
        <w:t xml:space="preserve"> нормативним вимогам безпечності.</w:t>
      </w:r>
    </w:p>
    <w:p w:rsidR="004027DF" w:rsidRPr="008757A7" w:rsidRDefault="004027DF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У разі прийняття проекту наказу власники тварин, спеціалісти ветеринарної медицини зможуть повноцінно здійснювати всі необхідні заходи щодо виробництва безпечн</w:t>
      </w:r>
      <w:r w:rsidR="00FE4F28" w:rsidRPr="008757A7">
        <w:rPr>
          <w:sz w:val="28"/>
          <w:szCs w:val="28"/>
          <w:lang w:val="uk-UA"/>
        </w:rPr>
        <w:t>их кормів. Д</w:t>
      </w:r>
      <w:r w:rsidRPr="008757A7">
        <w:rPr>
          <w:sz w:val="28"/>
          <w:szCs w:val="28"/>
          <w:lang w:val="uk-UA"/>
        </w:rPr>
        <w:t>отримання пропонованих вимог також є запорукою можливості виходу на зовнішні ринки, зокрема ЄС, із конкурентн</w:t>
      </w:r>
      <w:r w:rsidR="00FE4F28" w:rsidRPr="008757A7">
        <w:rPr>
          <w:sz w:val="28"/>
          <w:szCs w:val="28"/>
          <w:lang w:val="uk-UA"/>
        </w:rPr>
        <w:t>ими кормами.</w:t>
      </w:r>
    </w:p>
    <w:p w:rsidR="004027DF" w:rsidRPr="008757A7" w:rsidRDefault="000B7237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Заходи, які необхідно здійснити органам влади для розв’язання проблеми:</w:t>
      </w:r>
    </w:p>
    <w:p w:rsidR="000B7237" w:rsidRPr="008757A7" w:rsidRDefault="000B7237" w:rsidP="00331B4A">
      <w:pPr>
        <w:pStyle w:val="ad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t>довести до відома співробітників ветеринарних підрозділів Держпродспоживслужби положення проекту наказу та внести необхідні корективи в інструктивні матеріали на місцях;</w:t>
      </w:r>
    </w:p>
    <w:p w:rsidR="000B7237" w:rsidRPr="008757A7" w:rsidRDefault="000B7237" w:rsidP="00331B4A">
      <w:pPr>
        <w:pStyle w:val="ad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t>провести навчання для державних інспекторів, до обов’язків яких буде входити контроль за дотриманням вимог, передбачених проектом наказу;</w:t>
      </w:r>
    </w:p>
    <w:p w:rsidR="000B7237" w:rsidRPr="008757A7" w:rsidRDefault="000B7237" w:rsidP="00331B4A">
      <w:pPr>
        <w:pStyle w:val="ad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інформування операторів ринку про встановлення вимог шляхом оприлюднення їх на офіційних веб-сайтах </w:t>
      </w:r>
      <w:r w:rsidR="00582D23">
        <w:rPr>
          <w:rFonts w:ascii="Times New Roman" w:hAnsi="Times New Roman" w:cs="Times New Roman"/>
          <w:sz w:val="28"/>
          <w:szCs w:val="28"/>
          <w:lang w:val="uk-UA"/>
        </w:rPr>
        <w:t>Мінекономіки</w:t>
      </w:r>
      <w:r w:rsidRPr="008757A7">
        <w:rPr>
          <w:rFonts w:ascii="Times New Roman" w:hAnsi="Times New Roman" w:cs="Times New Roman"/>
          <w:sz w:val="28"/>
          <w:szCs w:val="28"/>
          <w:lang w:val="uk-UA"/>
        </w:rPr>
        <w:t xml:space="preserve"> та Держпродспоживслужби, а також шляхом роз’яснювальної роботи через територіальні органи Держпродспоживслужби та управління агропромислового розвитку областей.</w:t>
      </w:r>
    </w:p>
    <w:p w:rsidR="000B7237" w:rsidRPr="008757A7" w:rsidRDefault="000B7237" w:rsidP="00331B4A">
      <w:pPr>
        <w:pStyle w:val="ad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Заходи, які необхідно здійснити суб’єктам господарювання:</w:t>
      </w:r>
    </w:p>
    <w:p w:rsidR="000B7237" w:rsidRPr="008757A7" w:rsidRDefault="000B7237" w:rsidP="00331B4A">
      <w:pPr>
        <w:pStyle w:val="ad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навчання відповідного персоналу щодо особливостей застосування вимог до здійснення діяльності </w:t>
      </w:r>
      <w:proofErr w:type="spellStart"/>
      <w:r w:rsidRPr="008757A7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A94756" w:rsidRPr="008757A7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8757A7">
        <w:rPr>
          <w:rFonts w:ascii="Times New Roman" w:hAnsi="Times New Roman" w:cs="Times New Roman"/>
          <w:sz w:val="28"/>
          <w:szCs w:val="28"/>
          <w:lang w:val="uk-UA"/>
        </w:rPr>
        <w:t>язаної</w:t>
      </w:r>
      <w:proofErr w:type="spellEnd"/>
      <w:r w:rsidRPr="008757A7">
        <w:rPr>
          <w:rFonts w:ascii="Times New Roman" w:hAnsi="Times New Roman" w:cs="Times New Roman"/>
          <w:sz w:val="28"/>
          <w:szCs w:val="28"/>
          <w:lang w:val="uk-UA"/>
        </w:rPr>
        <w:t xml:space="preserve"> з виробництвом </w:t>
      </w:r>
      <w:r w:rsidR="00E27775" w:rsidRPr="008757A7">
        <w:rPr>
          <w:rFonts w:ascii="Times New Roman" w:hAnsi="Times New Roman" w:cs="Times New Roman"/>
          <w:sz w:val="28"/>
          <w:szCs w:val="28"/>
          <w:lang w:val="uk-UA"/>
        </w:rPr>
        <w:t>кормів</w:t>
      </w:r>
      <w:r w:rsidRPr="008757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7237" w:rsidRPr="008757A7" w:rsidRDefault="000B7237" w:rsidP="00331B4A">
      <w:pPr>
        <w:pStyle w:val="ad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t>переглянути внутрішні операційні та управлінські процеси щодо приведення у відповідність до вимог, зокрема в частині інформування підрозділів Держпродспоживслужби щодо виявлення невідповідн</w:t>
      </w:r>
      <w:r w:rsidR="00E27775" w:rsidRPr="008757A7">
        <w:rPr>
          <w:rFonts w:ascii="Times New Roman" w:hAnsi="Times New Roman" w:cs="Times New Roman"/>
          <w:sz w:val="28"/>
          <w:szCs w:val="28"/>
          <w:lang w:val="uk-UA"/>
        </w:rPr>
        <w:t>их кормів</w:t>
      </w:r>
      <w:r w:rsidRPr="008757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7237" w:rsidRPr="008757A7" w:rsidRDefault="000B7237" w:rsidP="00331B4A">
      <w:pPr>
        <w:pStyle w:val="ad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8757A7">
        <w:rPr>
          <w:rFonts w:ascii="Times New Roman" w:hAnsi="Times New Roman" w:cs="Times New Roman"/>
          <w:sz w:val="28"/>
          <w:szCs w:val="28"/>
          <w:lang w:val="uk-UA"/>
        </w:rPr>
        <w:t>розробити власні процедури (в разі потреби) відбору зразків, внутрішнього контролю тощо.</w:t>
      </w:r>
    </w:p>
    <w:p w:rsidR="00021C94" w:rsidRPr="008757A7" w:rsidRDefault="00021C94" w:rsidP="007C5F68">
      <w:pPr>
        <w:jc w:val="both"/>
        <w:rPr>
          <w:lang w:val="uk-UA"/>
        </w:rPr>
      </w:pPr>
    </w:p>
    <w:p w:rsidR="00F410E4" w:rsidRPr="008757A7" w:rsidRDefault="000B7237" w:rsidP="00861E50">
      <w:pPr>
        <w:tabs>
          <w:tab w:val="left" w:pos="720"/>
        </w:tabs>
        <w:ind w:left="720"/>
        <w:jc w:val="center"/>
        <w:rPr>
          <w:lang w:val="uk-UA"/>
        </w:rPr>
      </w:pPr>
      <w:r w:rsidRPr="008757A7">
        <w:rPr>
          <w:b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8757A7">
        <w:rPr>
          <w:b/>
          <w:sz w:val="28"/>
          <w:szCs w:val="28"/>
          <w:lang w:val="uk-UA"/>
        </w:rPr>
        <w:t>акта</w:t>
      </w:r>
      <w:proofErr w:type="spellEnd"/>
      <w:r w:rsidRPr="008757A7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86BA3" w:rsidRPr="008757A7" w:rsidRDefault="00386BA3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ab/>
        <w:t>Оскільки проектом наказу з одного боку пропонується запровадження підходів та процедур для операторів ринку кормів, а з іншого, мінімальні базові вимоги є такими, що відомі операторам і повинні були виконуватися раніше, витрати суб’єктів господарської діяльності є незначними, пов’язаними із потребами на ознайомлення із зміненими підходами та можливих оперативних змін внутрішніх процедур та дій фахівців, зокрема щодо здійснення інформування компетентного органу.</w:t>
      </w:r>
    </w:p>
    <w:p w:rsidR="00386BA3" w:rsidRPr="008757A7" w:rsidRDefault="00386BA3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Витрати для суб’єктів господарської діяльності та/або фізичних осіб, що раніше не виконували аналогічні вимоги щодо виробництва і обігу кормів неможливо узагальнено обрахувати через значну варіативність. Такі витрати обраховуватимуться безпосередньо під час будівництва, при введенні виробничих об’єктів в експлуатацію, тощо.</w:t>
      </w:r>
    </w:p>
    <w:p w:rsidR="00F410E4" w:rsidRPr="008757A7" w:rsidRDefault="00386BA3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Реалізація проекту наказу вимагає належного інструктування державних інспекторів ветеринарної медицини, які будуть здійснювати контроль за виробництвом та обігом кормів згідно </w:t>
      </w:r>
      <w:proofErr w:type="spellStart"/>
      <w:r w:rsidRPr="008757A7">
        <w:rPr>
          <w:sz w:val="28"/>
          <w:szCs w:val="28"/>
          <w:lang w:val="uk-UA"/>
        </w:rPr>
        <w:t>овстановлених</w:t>
      </w:r>
      <w:proofErr w:type="spellEnd"/>
      <w:r w:rsidRPr="008757A7">
        <w:rPr>
          <w:sz w:val="28"/>
          <w:szCs w:val="28"/>
          <w:lang w:val="uk-UA"/>
        </w:rPr>
        <w:t xml:space="preserve"> підходів. Разом з тим, це має відбуватися в рамках звичайної діяльності Держпродспоживслужби, тому окремі видатки органів виконавчої влади не передбачаються, і відповідні розрахунки згідно Додатку 3 до Методики проведення аналізу впливу регуляторного акту не проводились.</w:t>
      </w:r>
    </w:p>
    <w:p w:rsidR="00386BA3" w:rsidRPr="008757A7" w:rsidRDefault="00386BA3" w:rsidP="00331B4A">
      <w:pPr>
        <w:pStyle w:val="10"/>
        <w:ind w:firstLine="708"/>
        <w:jc w:val="both"/>
        <w:rPr>
          <w:lang w:val="uk-UA"/>
        </w:rPr>
      </w:pPr>
    </w:p>
    <w:p w:rsidR="00386BA3" w:rsidRPr="008757A7" w:rsidRDefault="00386BA3" w:rsidP="00861E50">
      <w:pPr>
        <w:pStyle w:val="10"/>
        <w:jc w:val="center"/>
        <w:rPr>
          <w:b/>
          <w:sz w:val="28"/>
          <w:szCs w:val="28"/>
          <w:lang w:val="uk-UA"/>
        </w:rPr>
      </w:pPr>
      <w:r w:rsidRPr="008757A7">
        <w:rPr>
          <w:b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8757A7">
        <w:rPr>
          <w:b/>
          <w:sz w:val="28"/>
          <w:szCs w:val="28"/>
          <w:lang w:val="uk-UA"/>
        </w:rPr>
        <w:t>акта</w:t>
      </w:r>
      <w:proofErr w:type="spellEnd"/>
    </w:p>
    <w:p w:rsidR="00386BA3" w:rsidRPr="008757A7" w:rsidRDefault="00861E50" w:rsidP="00331B4A">
      <w:pPr>
        <w:pStyle w:val="10"/>
        <w:ind w:firstLine="709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Строк дії регуляторного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встановлюється на необмежений термін та залежить від змін законодавства України та країн ЄС.</w:t>
      </w:r>
    </w:p>
    <w:p w:rsidR="00386BA3" w:rsidRPr="008757A7" w:rsidRDefault="00386BA3" w:rsidP="00331B4A">
      <w:pPr>
        <w:pStyle w:val="10"/>
        <w:rPr>
          <w:b/>
          <w:lang w:val="uk-UA"/>
        </w:rPr>
      </w:pPr>
    </w:p>
    <w:p w:rsidR="00F410E4" w:rsidRPr="008757A7" w:rsidRDefault="00386BA3" w:rsidP="00861E50">
      <w:pPr>
        <w:pStyle w:val="10"/>
        <w:jc w:val="center"/>
        <w:rPr>
          <w:b/>
          <w:sz w:val="28"/>
          <w:szCs w:val="28"/>
          <w:lang w:val="uk-UA"/>
        </w:rPr>
      </w:pPr>
      <w:r w:rsidRPr="008757A7">
        <w:rPr>
          <w:b/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8757A7">
        <w:rPr>
          <w:b/>
          <w:sz w:val="28"/>
          <w:szCs w:val="28"/>
          <w:lang w:val="uk-UA"/>
        </w:rPr>
        <w:t>акта</w:t>
      </w:r>
      <w:proofErr w:type="spellEnd"/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Прогнозні значення показників результативності регуляторного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будуть встановлюватися після набрання чинності актом</w:t>
      </w:r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є:</w:t>
      </w:r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1. Розмір надходжень до державного та місцевих бюджетів і державних цільових фондів, пов’язаних із дією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– прямих надходжень до державного бюджету не передбачається.</w:t>
      </w:r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lastRenderedPageBreak/>
        <w:t xml:space="preserve">2. Дія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поширюється на суб’єкти господарювання діяльність яких пов’язана з первинним виробництвом, виробництвом та обігом </w:t>
      </w:r>
      <w:r w:rsidR="0069256E" w:rsidRPr="008757A7">
        <w:rPr>
          <w:sz w:val="28"/>
          <w:szCs w:val="28"/>
          <w:lang w:val="uk-UA"/>
        </w:rPr>
        <w:t>кормів</w:t>
      </w:r>
      <w:r w:rsidRPr="008757A7">
        <w:rPr>
          <w:sz w:val="28"/>
          <w:szCs w:val="28"/>
          <w:lang w:val="uk-UA"/>
        </w:rPr>
        <w:t>.</w:t>
      </w:r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3. Рівень поінформованості суб’єктів господарювання та/або фізичних осіб з основних положень регуляторного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– високий, оскільки повідомлення про оприлюднення, проект наказу та аналіз регуляторного впливу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розміщено на офіційному веб-сайті</w:t>
      </w:r>
      <w:r w:rsidRPr="008757A7">
        <w:rPr>
          <w:color w:val="494949"/>
          <w:sz w:val="28"/>
          <w:szCs w:val="28"/>
          <w:lang w:val="uk-UA"/>
        </w:rPr>
        <w:t xml:space="preserve"> </w:t>
      </w:r>
      <w:proofErr w:type="spellStart"/>
      <w:r w:rsidR="0078091D" w:rsidRPr="008757A7">
        <w:rPr>
          <w:sz w:val="28"/>
          <w:szCs w:val="28"/>
          <w:lang w:val="uk-UA" w:eastAsia="en-GB"/>
        </w:rPr>
        <w:t>веб-сайті</w:t>
      </w:r>
      <w:proofErr w:type="spellEnd"/>
      <w:r w:rsidR="0078091D" w:rsidRPr="008757A7">
        <w:rPr>
          <w:sz w:val="28"/>
          <w:szCs w:val="28"/>
          <w:lang w:val="uk-UA" w:eastAsia="en-GB"/>
        </w:rPr>
        <w:t xml:space="preserve"> Мінекономіки </w:t>
      </w:r>
      <w:r w:rsidR="0078091D" w:rsidRPr="008757A7">
        <w:rPr>
          <w:sz w:val="28"/>
          <w:szCs w:val="28"/>
          <w:lang w:val="uk-UA"/>
        </w:rPr>
        <w:t>(</w:t>
      </w:r>
      <w:hyperlink r:id="rId8" w:history="1">
        <w:r w:rsidR="0078091D" w:rsidRPr="008757A7">
          <w:rPr>
            <w:sz w:val="28"/>
            <w:szCs w:val="28"/>
            <w:lang w:val="uk-UA"/>
          </w:rPr>
          <w:t>www.me.gov.ua</w:t>
        </w:r>
      </w:hyperlink>
      <w:r w:rsidR="0078091D" w:rsidRPr="008757A7">
        <w:rPr>
          <w:sz w:val="28"/>
          <w:szCs w:val="28"/>
          <w:lang w:val="uk-UA"/>
        </w:rPr>
        <w:t>)</w:t>
      </w:r>
      <w:r w:rsidR="0078091D" w:rsidRPr="008757A7">
        <w:rPr>
          <w:sz w:val="28"/>
          <w:szCs w:val="28"/>
          <w:lang w:val="uk-UA" w:eastAsia="en-GB"/>
        </w:rPr>
        <w:t xml:space="preserve"> </w:t>
      </w:r>
      <w:r w:rsidRPr="008757A7">
        <w:rPr>
          <w:sz w:val="28"/>
          <w:szCs w:val="28"/>
          <w:lang w:val="uk-UA"/>
        </w:rPr>
        <w:t>та</w:t>
      </w:r>
      <w:r w:rsidRPr="008757A7">
        <w:rPr>
          <w:color w:val="494949"/>
          <w:sz w:val="28"/>
          <w:szCs w:val="28"/>
          <w:lang w:val="uk-UA"/>
        </w:rPr>
        <w:t xml:space="preserve"> </w:t>
      </w:r>
      <w:r w:rsidRPr="008757A7">
        <w:rPr>
          <w:sz w:val="28"/>
          <w:szCs w:val="28"/>
          <w:lang w:val="uk-UA"/>
        </w:rPr>
        <w:t>Державної служби України з питань безпечності харчових продуктів та захисту споживачів (www.consumer.gov.ua).</w:t>
      </w:r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4. Час, що необхідно буде витратити суб’єктам господарювання та/або фізичним особам, для виконання </w:t>
      </w:r>
      <w:r w:rsidR="00A94756" w:rsidRPr="008757A7">
        <w:rPr>
          <w:sz w:val="28"/>
          <w:szCs w:val="28"/>
          <w:lang w:val="uk-UA"/>
        </w:rPr>
        <w:t xml:space="preserve">вимог </w:t>
      </w:r>
      <w:proofErr w:type="spellStart"/>
      <w:r w:rsidR="00A94756" w:rsidRPr="008757A7">
        <w:rPr>
          <w:sz w:val="28"/>
          <w:szCs w:val="28"/>
          <w:lang w:val="uk-UA"/>
        </w:rPr>
        <w:t>акта</w:t>
      </w:r>
      <w:proofErr w:type="spellEnd"/>
      <w:r w:rsidR="00A94756" w:rsidRPr="008757A7">
        <w:rPr>
          <w:sz w:val="28"/>
          <w:szCs w:val="28"/>
          <w:lang w:val="uk-UA"/>
        </w:rPr>
        <w:t xml:space="preserve"> – </w:t>
      </w:r>
      <w:proofErr w:type="spellStart"/>
      <w:r w:rsidR="00A94756" w:rsidRPr="008757A7">
        <w:rPr>
          <w:sz w:val="28"/>
          <w:szCs w:val="28"/>
          <w:lang w:val="uk-UA"/>
        </w:rPr>
        <w:t>разово</w:t>
      </w:r>
      <w:proofErr w:type="spellEnd"/>
      <w:r w:rsidR="00A94756" w:rsidRPr="008757A7">
        <w:rPr>
          <w:sz w:val="28"/>
          <w:szCs w:val="28"/>
          <w:lang w:val="uk-UA"/>
        </w:rPr>
        <w:t xml:space="preserve"> орієнтовно 1</w:t>
      </w:r>
      <w:r w:rsidRPr="008757A7">
        <w:rPr>
          <w:sz w:val="28"/>
          <w:szCs w:val="28"/>
          <w:lang w:val="uk-UA"/>
        </w:rPr>
        <w:t xml:space="preserve"> години для відповідальних працівників на ознайомлення із </w:t>
      </w:r>
      <w:r w:rsidR="007A41B1" w:rsidRPr="008757A7">
        <w:rPr>
          <w:sz w:val="28"/>
          <w:szCs w:val="28"/>
          <w:lang w:val="uk-UA"/>
        </w:rPr>
        <w:t>наказом</w:t>
      </w:r>
      <w:r w:rsidRPr="008757A7">
        <w:rPr>
          <w:sz w:val="28"/>
          <w:szCs w:val="28"/>
          <w:lang w:val="uk-UA"/>
        </w:rPr>
        <w:t>, а також для проведення навчання персоналу, в залежності від рівня попередн</w:t>
      </w:r>
      <w:r w:rsidR="00A94756" w:rsidRPr="008757A7">
        <w:rPr>
          <w:sz w:val="28"/>
          <w:szCs w:val="28"/>
          <w:lang w:val="uk-UA"/>
        </w:rPr>
        <w:t>ьої підготовки, орієнтовно до 2</w:t>
      </w:r>
      <w:r w:rsidRPr="008757A7">
        <w:rPr>
          <w:sz w:val="28"/>
          <w:szCs w:val="28"/>
          <w:lang w:val="uk-UA"/>
        </w:rPr>
        <w:t xml:space="preserve"> годин</w:t>
      </w:r>
      <w:r w:rsidR="00A94756" w:rsidRPr="008757A7">
        <w:rPr>
          <w:sz w:val="28"/>
          <w:szCs w:val="28"/>
          <w:lang w:val="uk-UA"/>
        </w:rPr>
        <w:t>и</w:t>
      </w:r>
      <w:r w:rsidRPr="008757A7">
        <w:rPr>
          <w:sz w:val="28"/>
          <w:szCs w:val="28"/>
          <w:lang w:val="uk-UA"/>
        </w:rPr>
        <w:t>. Час витрачений в даному випадку має обліковуватись в межах норм часу, що витрачається на виконання безпосередніх фахових обов’язків.</w:t>
      </w:r>
    </w:p>
    <w:p w:rsidR="00386BA3" w:rsidRPr="008757A7" w:rsidRDefault="00386BA3" w:rsidP="00331B4A">
      <w:pPr>
        <w:ind w:firstLine="708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>Показниками результативності будуть:</w:t>
      </w:r>
    </w:p>
    <w:p w:rsidR="00386BA3" w:rsidRPr="008757A7" w:rsidRDefault="00386BA3" w:rsidP="00331B4A">
      <w:pPr>
        <w:ind w:firstLine="708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 xml:space="preserve">стабільна чисельність та/або збільшення кількості суб’єктів господарювання, що діятимуть на ринку </w:t>
      </w:r>
      <w:r w:rsidR="00A6265D" w:rsidRPr="008757A7">
        <w:rPr>
          <w:sz w:val="28"/>
          <w:szCs w:val="28"/>
          <w:lang w:val="uk-UA"/>
        </w:rPr>
        <w:t>кормів</w:t>
      </w:r>
      <w:r w:rsidR="007A41B1" w:rsidRPr="008757A7">
        <w:rPr>
          <w:sz w:val="28"/>
          <w:szCs w:val="28"/>
          <w:lang w:val="uk-UA"/>
        </w:rPr>
        <w:t>;</w:t>
      </w:r>
    </w:p>
    <w:p w:rsidR="00386BA3" w:rsidRPr="008757A7" w:rsidRDefault="00386BA3" w:rsidP="00331B4A">
      <w:pPr>
        <w:ind w:firstLine="708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 xml:space="preserve">збільшення виробництва </w:t>
      </w:r>
      <w:r w:rsidR="00A6265D" w:rsidRPr="008757A7">
        <w:rPr>
          <w:sz w:val="28"/>
          <w:szCs w:val="28"/>
          <w:lang w:val="uk-UA"/>
        </w:rPr>
        <w:t>кормів</w:t>
      </w:r>
      <w:r w:rsidRPr="008757A7">
        <w:rPr>
          <w:sz w:val="28"/>
          <w:szCs w:val="28"/>
          <w:lang w:val="uk-UA"/>
        </w:rPr>
        <w:t xml:space="preserve"> високої якості;</w:t>
      </w:r>
    </w:p>
    <w:p w:rsidR="00386BA3" w:rsidRPr="008757A7" w:rsidRDefault="00386BA3" w:rsidP="00331B4A">
      <w:pPr>
        <w:ind w:firstLine="708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 xml:space="preserve">зменшення кількості позапланових перевірок операторів ринку </w:t>
      </w:r>
      <w:r w:rsidR="0069256E" w:rsidRPr="008757A7">
        <w:rPr>
          <w:sz w:val="28"/>
          <w:szCs w:val="28"/>
          <w:lang w:val="uk-UA"/>
        </w:rPr>
        <w:t>кормів</w:t>
      </w:r>
      <w:r w:rsidRPr="008757A7">
        <w:rPr>
          <w:sz w:val="28"/>
          <w:szCs w:val="28"/>
          <w:lang w:val="uk-UA"/>
        </w:rPr>
        <w:t>, пов’язаних із скаргами на низьку якість продукції – орієнтовно не менше 5% щорічно;</w:t>
      </w:r>
    </w:p>
    <w:p w:rsidR="00386BA3" w:rsidRPr="008757A7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збільшення кількості експортерів та обсягів експорту </w:t>
      </w:r>
      <w:r w:rsidR="00A6265D" w:rsidRPr="008757A7">
        <w:rPr>
          <w:sz w:val="28"/>
          <w:szCs w:val="28"/>
          <w:lang w:val="uk-UA"/>
        </w:rPr>
        <w:t>кормів</w:t>
      </w:r>
      <w:r w:rsidRPr="008757A7">
        <w:rPr>
          <w:sz w:val="28"/>
          <w:szCs w:val="28"/>
          <w:lang w:val="uk-UA"/>
        </w:rPr>
        <w:t>.</w:t>
      </w:r>
    </w:p>
    <w:p w:rsidR="00005F14" w:rsidRPr="008757A7" w:rsidRDefault="00005F14" w:rsidP="00331B4A">
      <w:pPr>
        <w:ind w:firstLine="700"/>
        <w:jc w:val="both"/>
        <w:rPr>
          <w:lang w:val="uk-UA"/>
        </w:rPr>
      </w:pPr>
    </w:p>
    <w:p w:rsidR="000F42AA" w:rsidRPr="008757A7" w:rsidRDefault="000F42AA" w:rsidP="00861E50">
      <w:pPr>
        <w:pStyle w:val="10"/>
        <w:widowControl/>
        <w:ind w:left="-6" w:firstLine="715"/>
        <w:jc w:val="both"/>
        <w:rPr>
          <w:b/>
          <w:sz w:val="28"/>
          <w:szCs w:val="28"/>
          <w:lang w:val="uk-UA"/>
        </w:rPr>
      </w:pPr>
      <w:r w:rsidRPr="008757A7">
        <w:rPr>
          <w:b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757A7">
        <w:rPr>
          <w:b/>
          <w:sz w:val="28"/>
          <w:szCs w:val="28"/>
          <w:lang w:val="uk-UA"/>
        </w:rPr>
        <w:t>акта</w:t>
      </w:r>
      <w:proofErr w:type="spellEnd"/>
    </w:p>
    <w:p w:rsidR="000F42AA" w:rsidRPr="008757A7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8757A7">
        <w:rPr>
          <w:sz w:val="28"/>
          <w:szCs w:val="28"/>
          <w:lang w:val="uk-UA"/>
        </w:rPr>
        <w:t>акта</w:t>
      </w:r>
      <w:proofErr w:type="spellEnd"/>
      <w:r w:rsidRPr="008757A7">
        <w:rPr>
          <w:sz w:val="28"/>
          <w:szCs w:val="28"/>
          <w:lang w:val="uk-UA"/>
        </w:rPr>
        <w:t xml:space="preserve"> буде здійснюватися Державною службою України з питань безпечності харчових продуктів та захисту споживачів.</w:t>
      </w:r>
    </w:p>
    <w:p w:rsidR="000F42AA" w:rsidRPr="008757A7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Базове відстеження результативності зазначеного регуляторного акту буде здійснюватися до набрання чинності шляхом збору пропозицій і зауважень та їх аналізу.</w:t>
      </w:r>
    </w:p>
    <w:p w:rsidR="000F42AA" w:rsidRPr="008757A7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Повторне відстеження результативності буде здійснене через рік після набрання ним чинності шляхом аналізу статистичних даних.</w:t>
      </w:r>
    </w:p>
    <w:p w:rsidR="000F42AA" w:rsidRPr="008757A7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Періодичне відстеження результативності буде здійснюватися шляхом аналізу статистичних даних щорічно, починаючи з дня закінчення заходів з повторного відстеження результатів виконання Вимог.</w:t>
      </w:r>
    </w:p>
    <w:p w:rsidR="000F42AA" w:rsidRPr="008757A7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F410E4" w:rsidRPr="008757A7" w:rsidRDefault="000F42AA" w:rsidP="00331B4A">
      <w:pPr>
        <w:pStyle w:val="10"/>
        <w:widowControl/>
        <w:ind w:left="-6" w:firstLine="715"/>
        <w:jc w:val="both"/>
        <w:rPr>
          <w:lang w:val="uk-UA"/>
        </w:rPr>
      </w:pPr>
      <w:r w:rsidRPr="008757A7">
        <w:rPr>
          <w:sz w:val="28"/>
          <w:szCs w:val="28"/>
          <w:lang w:val="uk-UA"/>
        </w:rPr>
        <w:t xml:space="preserve">Вид даних, за допомогою яких здійснюватиметься відстеження результативності – статистичні. </w:t>
      </w:r>
      <w:r w:rsidR="00F410E4" w:rsidRPr="008757A7">
        <w:rPr>
          <w:sz w:val="28"/>
          <w:szCs w:val="28"/>
          <w:highlight w:val="white"/>
          <w:lang w:val="uk-UA"/>
        </w:rPr>
        <w:t xml:space="preserve">Базове відстеження результативності зазначеного регуляторного </w:t>
      </w:r>
      <w:proofErr w:type="spellStart"/>
      <w:r w:rsidR="00F410E4" w:rsidRPr="008757A7">
        <w:rPr>
          <w:sz w:val="28"/>
          <w:szCs w:val="28"/>
          <w:highlight w:val="white"/>
          <w:lang w:val="uk-UA"/>
        </w:rPr>
        <w:t>акта</w:t>
      </w:r>
      <w:proofErr w:type="spellEnd"/>
      <w:r w:rsidR="00F410E4" w:rsidRPr="008757A7">
        <w:rPr>
          <w:sz w:val="28"/>
          <w:szCs w:val="28"/>
          <w:highlight w:val="white"/>
          <w:lang w:val="uk-UA"/>
        </w:rPr>
        <w:t xml:space="preserve"> буде здійснюватися до набрання ним чинності шляхом збору пропозицій і зауважень та їх аналізу.</w:t>
      </w:r>
    </w:p>
    <w:p w:rsidR="00F410E4" w:rsidRPr="008757A7" w:rsidRDefault="00F410E4" w:rsidP="00331B4A">
      <w:pPr>
        <w:pStyle w:val="10"/>
        <w:widowControl/>
        <w:ind w:left="-6" w:firstLine="715"/>
        <w:jc w:val="both"/>
        <w:rPr>
          <w:lang w:val="uk-UA"/>
        </w:rPr>
      </w:pPr>
      <w:r w:rsidRPr="008757A7">
        <w:rPr>
          <w:sz w:val="28"/>
          <w:szCs w:val="28"/>
          <w:highlight w:val="white"/>
          <w:lang w:val="uk-UA"/>
        </w:rPr>
        <w:t>Повторне відстеження результативності буде здійснене через рік після набрання ним чиннос</w:t>
      </w:r>
      <w:r w:rsidR="000F42AA" w:rsidRPr="008757A7">
        <w:rPr>
          <w:sz w:val="28"/>
          <w:szCs w:val="28"/>
          <w:highlight w:val="white"/>
          <w:lang w:val="uk-UA"/>
        </w:rPr>
        <w:t xml:space="preserve">ті шляхом аналізу статистичних </w:t>
      </w:r>
      <w:r w:rsidRPr="008757A7">
        <w:rPr>
          <w:sz w:val="28"/>
          <w:szCs w:val="28"/>
          <w:highlight w:val="white"/>
          <w:lang w:val="uk-UA"/>
        </w:rPr>
        <w:t>даних.</w:t>
      </w:r>
    </w:p>
    <w:p w:rsidR="00F410E4" w:rsidRPr="008757A7" w:rsidRDefault="00F410E4" w:rsidP="00331B4A">
      <w:pPr>
        <w:pStyle w:val="10"/>
        <w:widowControl/>
        <w:ind w:left="-6" w:firstLine="715"/>
        <w:jc w:val="both"/>
        <w:rPr>
          <w:lang w:val="uk-UA"/>
        </w:rPr>
      </w:pPr>
      <w:r w:rsidRPr="008757A7">
        <w:rPr>
          <w:sz w:val="28"/>
          <w:szCs w:val="28"/>
          <w:highlight w:val="white"/>
          <w:lang w:val="uk-UA"/>
        </w:rPr>
        <w:lastRenderedPageBreak/>
        <w:t>Періодичне відстеження результативності буде здійснюватися шляхом аналізу статистичних даних щорічно, починаючи з дня закінчення заходів з повторного відстеження результатів виконання Інструкції.</w:t>
      </w:r>
    </w:p>
    <w:p w:rsidR="00F410E4" w:rsidRPr="008757A7" w:rsidRDefault="00F410E4" w:rsidP="00331B4A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8757A7">
        <w:rPr>
          <w:color w:val="auto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F410E4" w:rsidRPr="008757A7" w:rsidRDefault="00F410E4" w:rsidP="00331B4A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8757A7">
        <w:rPr>
          <w:color w:val="auto"/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:rsidR="00F410E4" w:rsidRPr="008757A7" w:rsidRDefault="00F410E4" w:rsidP="00331B4A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8757A7">
        <w:rPr>
          <w:color w:val="auto"/>
          <w:sz w:val="28"/>
          <w:szCs w:val="28"/>
          <w:lang w:val="uk-UA"/>
        </w:rPr>
        <w:t>Для відстеження результативності будуть використовуватися дані, отримані за результатами перевірок, проведених структурними підрозділами Держпродспоживслужби та її територіальними органами.</w:t>
      </w:r>
    </w:p>
    <w:p w:rsidR="002B7626" w:rsidRPr="008757A7" w:rsidRDefault="002B7626" w:rsidP="00331B4A">
      <w:pPr>
        <w:ind w:firstLine="709"/>
        <w:jc w:val="both"/>
        <w:rPr>
          <w:color w:val="auto"/>
          <w:sz w:val="24"/>
          <w:szCs w:val="24"/>
          <w:lang w:val="uk-UA"/>
        </w:rPr>
      </w:pPr>
    </w:p>
    <w:p w:rsidR="004F6DEB" w:rsidRPr="008757A7" w:rsidRDefault="004F6DEB" w:rsidP="00331B4A">
      <w:pPr>
        <w:pStyle w:val="10"/>
        <w:tabs>
          <w:tab w:val="left" w:pos="3600"/>
        </w:tabs>
        <w:rPr>
          <w:b/>
          <w:lang w:val="uk-UA"/>
        </w:rPr>
      </w:pPr>
    </w:p>
    <w:p w:rsidR="00237547" w:rsidRDefault="00237547" w:rsidP="00237547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Міністр розвитку економіки, </w:t>
      </w:r>
    </w:p>
    <w:p w:rsidR="00237547" w:rsidRDefault="00237547" w:rsidP="00237547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торгівлі та сільського</w:t>
      </w:r>
    </w:p>
    <w:p w:rsidR="00237547" w:rsidRDefault="00237547" w:rsidP="0023754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господ</w:t>
      </w:r>
      <w:bookmarkStart w:id="0" w:name="_GoBack"/>
      <w:bookmarkEnd w:id="0"/>
      <w:r>
        <w:rPr>
          <w:b/>
          <w:sz w:val="28"/>
          <w:szCs w:val="28"/>
        </w:rPr>
        <w:t>арства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С. Милованов</w:t>
      </w:r>
    </w:p>
    <w:p w:rsidR="008757A7" w:rsidRPr="008757A7" w:rsidRDefault="008757A7" w:rsidP="008757A7">
      <w:pPr>
        <w:rPr>
          <w:sz w:val="28"/>
          <w:szCs w:val="28"/>
          <w:lang w:val="uk-UA"/>
        </w:rPr>
      </w:pPr>
    </w:p>
    <w:p w:rsidR="008757A7" w:rsidRPr="008757A7" w:rsidRDefault="008757A7" w:rsidP="008757A7">
      <w:pPr>
        <w:rPr>
          <w:sz w:val="28"/>
          <w:szCs w:val="28"/>
          <w:lang w:val="uk-UA"/>
        </w:rPr>
      </w:pPr>
      <w:r w:rsidRPr="008757A7">
        <w:rPr>
          <w:sz w:val="28"/>
          <w:szCs w:val="28"/>
          <w:lang w:val="uk-UA"/>
        </w:rPr>
        <w:t>___  _________ 2019 р.</w:t>
      </w:r>
    </w:p>
    <w:p w:rsidR="00542D8B" w:rsidRDefault="00542D8B" w:rsidP="008757A7">
      <w:pPr>
        <w:rPr>
          <w:lang w:val="uk-UA"/>
        </w:rPr>
      </w:pPr>
    </w:p>
    <w:p w:rsidR="00542D8B" w:rsidRDefault="00542D8B" w:rsidP="008757A7">
      <w:pPr>
        <w:rPr>
          <w:lang w:val="uk-UA"/>
        </w:rPr>
        <w:sectPr w:rsidR="00542D8B" w:rsidSect="00331B4A">
          <w:headerReference w:type="default" r:id="rId9"/>
          <w:pgSz w:w="11906" w:h="16838"/>
          <w:pgMar w:top="1134" w:right="567" w:bottom="1134" w:left="1701" w:header="0" w:footer="720" w:gutter="0"/>
          <w:pgNumType w:start="1"/>
          <w:cols w:space="720"/>
          <w:titlePg/>
          <w:docGrid w:linePitch="272"/>
        </w:sectPr>
      </w:pPr>
    </w:p>
    <w:p w:rsidR="00542D8B" w:rsidRPr="00634C48" w:rsidRDefault="00542D8B" w:rsidP="00542D8B">
      <w:pPr>
        <w:jc w:val="center"/>
        <w:rPr>
          <w:b/>
          <w:sz w:val="28"/>
          <w:szCs w:val="28"/>
          <w:lang w:val="uk-UA" w:eastAsia="ru-RU"/>
        </w:rPr>
      </w:pPr>
    </w:p>
    <w:p w:rsidR="00542D8B" w:rsidRPr="00634C48" w:rsidRDefault="00542D8B" w:rsidP="00542D8B">
      <w:pPr>
        <w:jc w:val="center"/>
        <w:rPr>
          <w:b/>
          <w:sz w:val="28"/>
          <w:szCs w:val="28"/>
          <w:lang w:val="uk-UA" w:eastAsia="ru-RU"/>
        </w:rPr>
      </w:pPr>
      <w:r w:rsidRPr="00634C48">
        <w:rPr>
          <w:b/>
          <w:sz w:val="28"/>
          <w:szCs w:val="28"/>
          <w:lang w:val="uk-UA" w:eastAsia="ru-RU"/>
        </w:rPr>
        <w:t>ТЕСТ</w:t>
      </w:r>
    </w:p>
    <w:p w:rsidR="00542D8B" w:rsidRPr="00634C48" w:rsidRDefault="00542D8B" w:rsidP="00542D8B">
      <w:pPr>
        <w:jc w:val="center"/>
        <w:rPr>
          <w:b/>
          <w:sz w:val="28"/>
          <w:szCs w:val="28"/>
          <w:lang w:val="uk-UA" w:eastAsia="ru-RU"/>
        </w:rPr>
      </w:pPr>
      <w:r w:rsidRPr="00634C48">
        <w:rPr>
          <w:b/>
          <w:sz w:val="28"/>
          <w:szCs w:val="28"/>
          <w:lang w:val="uk-UA" w:eastAsia="ru-RU"/>
        </w:rPr>
        <w:t>малого підприємництва (М-Тест)</w:t>
      </w:r>
    </w:p>
    <w:p w:rsidR="00542D8B" w:rsidRPr="00634C48" w:rsidRDefault="00542D8B" w:rsidP="00542D8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1" w:name="n200"/>
      <w:bookmarkEnd w:id="1"/>
      <w:r w:rsidRPr="00634C48">
        <w:rPr>
          <w:sz w:val="28"/>
          <w:szCs w:val="28"/>
          <w:lang w:val="uk-UA" w:eastAsia="ru-RU"/>
        </w:rPr>
        <w:t>1. Консультації з представниками мікро - та малого підприємництва щодо оцінки впливу регулювання</w:t>
      </w:r>
    </w:p>
    <w:p w:rsidR="00542D8B" w:rsidRPr="00634C48" w:rsidRDefault="00542D8B" w:rsidP="00542D8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2" w:name="n201"/>
      <w:bookmarkEnd w:id="2"/>
      <w:r w:rsidRPr="00634C48">
        <w:rPr>
          <w:sz w:val="28"/>
          <w:szCs w:val="28"/>
          <w:lang w:val="uk-UA"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</w:t>
      </w:r>
      <w:r>
        <w:rPr>
          <w:sz w:val="28"/>
          <w:szCs w:val="28"/>
          <w:lang w:val="uk-UA" w:eastAsia="ru-RU"/>
        </w:rPr>
        <w:t>бником у період з 01вересня 2018 р. по 01 травня 2019</w:t>
      </w:r>
      <w:r w:rsidRPr="00634C48">
        <w:rPr>
          <w:sz w:val="28"/>
          <w:szCs w:val="28"/>
          <w:lang w:val="uk-UA" w:eastAsia="ru-RU"/>
        </w:rPr>
        <w:t xml:space="preserve"> 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1"/>
        <w:gridCol w:w="3427"/>
        <w:gridCol w:w="1697"/>
        <w:gridCol w:w="2967"/>
      </w:tblGrid>
      <w:tr w:rsidR="00542D8B" w:rsidRPr="00634C48" w:rsidTr="00273897"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bookmarkStart w:id="3" w:name="n202"/>
            <w:bookmarkEnd w:id="3"/>
            <w:r w:rsidRPr="00634C48">
              <w:rPr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Кількість учасників консультацій, осіб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Основні результати консультацій (опис)</w:t>
            </w:r>
          </w:p>
        </w:tc>
      </w:tr>
      <w:tr w:rsidR="00542D8B" w:rsidRPr="00F82581" w:rsidTr="00273897"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F12D1D" w:rsidRDefault="00542D8B" w:rsidP="0027389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F12D1D">
              <w:rPr>
                <w:sz w:val="28"/>
                <w:szCs w:val="28"/>
                <w:lang w:val="uk-UA" w:eastAsia="ru-RU"/>
              </w:rPr>
              <w:t xml:space="preserve">Проведено 4 наради, ряд зустрічей, консультацій та інтернет-консультацій за участю представників Держпродспоживслужби, Мінагрополітики, </w:t>
            </w:r>
            <w:r w:rsidRPr="00F12D1D">
              <w:rPr>
                <w:sz w:val="28"/>
                <w:szCs w:val="28"/>
                <w:lang w:val="uk-UA"/>
              </w:rPr>
              <w:t>Державним підприємством “</w:t>
            </w:r>
            <w:proofErr w:type="spellStart"/>
            <w:r w:rsidRPr="00F12D1D">
              <w:rPr>
                <w:sz w:val="28"/>
                <w:szCs w:val="28"/>
                <w:lang w:val="uk-UA"/>
              </w:rPr>
              <w:t>Укрветсанзавод</w:t>
            </w:r>
            <w:proofErr w:type="spellEnd"/>
            <w:r w:rsidRPr="00F12D1D">
              <w:rPr>
                <w:sz w:val="28"/>
                <w:szCs w:val="28"/>
                <w:lang w:val="uk-UA"/>
              </w:rPr>
              <w:t xml:space="preserve">”, проектом ЄС “Вдосконалення системи контролю безпечності харчових продуктів в Україні”, </w:t>
            </w:r>
            <w:r w:rsidRPr="00F12D1D">
              <w:rPr>
                <w:sz w:val="28"/>
                <w:szCs w:val="28"/>
                <w:lang w:val="uk-UA" w:eastAsia="ru-RU"/>
              </w:rPr>
              <w:t>виробників та експертів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4C5044" w:rsidRDefault="00542D8B" w:rsidP="00273897">
            <w:pPr>
              <w:ind w:right="114"/>
              <w:jc w:val="both"/>
              <w:rPr>
                <w:sz w:val="28"/>
                <w:szCs w:val="28"/>
                <w:lang w:val="uk-UA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 xml:space="preserve">За результатами нарад, зустрічей, консультацій та інтернет-консультацій, </w:t>
            </w:r>
            <w:r w:rsidRPr="00634C48">
              <w:rPr>
                <w:sz w:val="28"/>
                <w:szCs w:val="28"/>
                <w:lang w:val="uk-UA"/>
              </w:rPr>
              <w:t xml:space="preserve">з метою організації та контролю за виробництвом та обігом кормів, вдосконалення методів нагляду, та покращення можливостей реагування на спалах </w:t>
            </w:r>
            <w:r w:rsidRPr="00634C48">
              <w:rPr>
                <w:sz w:val="28"/>
                <w:szCs w:val="28"/>
                <w:lang w:val="uk-UA" w:eastAsia="ru-RU"/>
              </w:rPr>
              <w:t xml:space="preserve">було розроблено проект наказу </w:t>
            </w:r>
            <w:r>
              <w:rPr>
                <w:sz w:val="28"/>
                <w:szCs w:val="28"/>
                <w:lang w:val="uk-UA" w:eastAsia="ru-RU"/>
              </w:rPr>
              <w:t>Мінекономіки</w:t>
            </w:r>
            <w:r w:rsidRPr="00634C48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4C504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4C5044">
              <w:rPr>
                <w:sz w:val="28"/>
                <w:szCs w:val="28"/>
                <w:lang w:val="uk-UA"/>
              </w:rPr>
              <w:t>затвердження Порядку знищення, утилізації кормів, повернення їх в обіг для годівлі тварин або для інших, ніж годівля тварин, цілей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542D8B" w:rsidRPr="00634C48" w:rsidRDefault="00542D8B" w:rsidP="00542D8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4" w:name="n203"/>
      <w:bookmarkEnd w:id="4"/>
      <w:r w:rsidRPr="00634C48">
        <w:rPr>
          <w:sz w:val="28"/>
          <w:szCs w:val="28"/>
          <w:lang w:val="uk-UA" w:eastAsia="ru-RU"/>
        </w:rPr>
        <w:t>2. Вимірювання впливу регулювання на суб’єктів малого підприємництва (мікро - та малі):</w:t>
      </w:r>
    </w:p>
    <w:p w:rsidR="00542D8B" w:rsidRPr="00634C48" w:rsidRDefault="00542D8B" w:rsidP="00542D8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5" w:name="n204"/>
      <w:bookmarkEnd w:id="5"/>
      <w:r w:rsidRPr="00634C48">
        <w:rPr>
          <w:sz w:val="28"/>
          <w:szCs w:val="28"/>
          <w:lang w:val="uk-UA" w:eastAsia="ru-RU"/>
        </w:rPr>
        <w:lastRenderedPageBreak/>
        <w:t xml:space="preserve">кількість суб’єктів малого підприємництва, на яких поширюється регулювання: 7 340 (одиниць), у тому числі малого підприємництва 3 360 (одиниць) та </w:t>
      </w:r>
      <w:proofErr w:type="spellStart"/>
      <w:r w:rsidRPr="00634C48">
        <w:rPr>
          <w:sz w:val="28"/>
          <w:szCs w:val="28"/>
          <w:lang w:val="uk-UA" w:eastAsia="ru-RU"/>
        </w:rPr>
        <w:t>мікропідприємництва</w:t>
      </w:r>
      <w:proofErr w:type="spellEnd"/>
      <w:r w:rsidRPr="00634C48">
        <w:rPr>
          <w:sz w:val="28"/>
          <w:szCs w:val="28"/>
          <w:lang w:val="uk-UA" w:eastAsia="ru-RU"/>
        </w:rPr>
        <w:t xml:space="preserve"> 3 613 (одиниць);</w:t>
      </w:r>
    </w:p>
    <w:p w:rsidR="00542D8B" w:rsidRPr="00634C48" w:rsidRDefault="00542D8B" w:rsidP="00542D8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6" w:name="n205"/>
      <w:bookmarkEnd w:id="6"/>
      <w:r w:rsidRPr="00634C48">
        <w:rPr>
          <w:sz w:val="28"/>
          <w:szCs w:val="28"/>
          <w:lang w:val="uk-UA" w:eastAsia="ru-RU"/>
        </w:rPr>
        <w:t>питома вага суб’єктів малого підприємництва у загальній кількості суб’єктів господарювання, на яких проблема справляє вплив 50,2 % (відсотків).</w:t>
      </w:r>
    </w:p>
    <w:p w:rsidR="00542D8B" w:rsidRPr="00634C48" w:rsidRDefault="00542D8B" w:rsidP="00542D8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7" w:name="n206"/>
      <w:bookmarkEnd w:id="7"/>
      <w:r w:rsidRPr="00634C48">
        <w:rPr>
          <w:sz w:val="28"/>
          <w:szCs w:val="28"/>
          <w:lang w:val="uk-UA" w:eastAsia="ru-RU"/>
        </w:rPr>
        <w:t>3. Розрахунок витрат суб’єктів малого підприємництва на виконання вимог регулювання</w:t>
      </w:r>
      <w:r>
        <w:rPr>
          <w:sz w:val="28"/>
          <w:szCs w:val="28"/>
          <w:lang w:val="uk-UA" w:eastAsia="ru-RU"/>
        </w:rPr>
        <w:t xml:space="preserve"> та о</w:t>
      </w:r>
      <w:r w:rsidRPr="00634C48">
        <w:rPr>
          <w:sz w:val="28"/>
          <w:szCs w:val="28"/>
          <w:lang w:val="uk-UA" w:eastAsia="ru-RU"/>
        </w:rPr>
        <w:t>цінка вартості адміністративних процедур суб’єктів малого підприємництва щодо виконання регулювання та звітування</w:t>
      </w:r>
    </w:p>
    <w:tbl>
      <w:tblPr>
        <w:tblW w:w="505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15"/>
        <w:gridCol w:w="2621"/>
        <w:gridCol w:w="51"/>
        <w:gridCol w:w="5433"/>
      </w:tblGrid>
      <w:tr w:rsidR="00542D8B" w:rsidRPr="00F82581" w:rsidTr="00273897">
        <w:trPr>
          <w:trHeight w:val="15"/>
        </w:trPr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  <w:lang w:val="uk-UA" w:eastAsia="ru-RU"/>
              </w:rPr>
            </w:pPr>
            <w:bookmarkStart w:id="8" w:name="n207"/>
            <w:bookmarkEnd w:id="8"/>
            <w:r w:rsidRPr="00634C48">
              <w:rPr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Найменування оцінки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У перший рік (стартовий рік впровадження регулювання)</w:t>
            </w:r>
          </w:p>
        </w:tc>
      </w:tr>
      <w:tr w:rsidR="00542D8B" w:rsidRPr="00F82581" w:rsidTr="00273897">
        <w:trPr>
          <w:trHeight w:val="15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542D8B" w:rsidRPr="00634C48" w:rsidTr="00273897">
        <w:trPr>
          <w:trHeight w:val="15"/>
        </w:trPr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3 360</w:t>
            </w:r>
          </w:p>
        </w:tc>
      </w:tr>
      <w:tr w:rsidR="00542D8B" w:rsidRPr="00634C48" w:rsidTr="00273897">
        <w:trPr>
          <w:trHeight w:val="1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</w:t>
            </w:r>
            <w:r w:rsidRPr="00634C48">
              <w:rPr>
                <w:sz w:val="28"/>
                <w:szCs w:val="28"/>
                <w:lang w:val="uk-UA" w:eastAsia="ru-RU"/>
              </w:rPr>
              <w:t>итрати часу на отрим</w:t>
            </w:r>
            <w:r>
              <w:rPr>
                <w:sz w:val="28"/>
                <w:szCs w:val="28"/>
                <w:lang w:val="uk-UA" w:eastAsia="ru-RU"/>
              </w:rPr>
              <w:t>ання інформації про регулювання</w:t>
            </w:r>
            <w:r w:rsidRPr="00634C48">
              <w:rPr>
                <w:sz w:val="28"/>
                <w:szCs w:val="28"/>
                <w:lang w:val="uk-UA" w:eastAsia="ru-RU"/>
              </w:rPr>
              <w:t xml:space="preserve">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 години Х 25,13 грн =50,26 грн</w:t>
            </w:r>
          </w:p>
        </w:tc>
      </w:tr>
      <w:tr w:rsidR="00542D8B" w:rsidRPr="00F82581" w:rsidTr="00273897">
        <w:trPr>
          <w:trHeight w:val="1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</w:p>
          <w:p w:rsidR="00542D8B" w:rsidRP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</w:p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A561B5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</w:t>
            </w:r>
            <w:r w:rsidRPr="00A561B5">
              <w:rPr>
                <w:sz w:val="28"/>
                <w:szCs w:val="28"/>
                <w:lang w:val="uk-UA" w:eastAsia="ru-RU"/>
              </w:rPr>
              <w:t xml:space="preserve">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</w:t>
            </w:r>
            <w:r w:rsidRPr="00A561B5">
              <w:rPr>
                <w:sz w:val="28"/>
                <w:szCs w:val="28"/>
                <w:lang w:val="uk-UA" w:eastAsia="ru-RU"/>
              </w:rPr>
              <w:lastRenderedPageBreak/>
              <w:t xml:space="preserve">внутрішніх процедур </w:t>
            </w:r>
          </w:p>
          <w:p w:rsidR="00542D8B" w:rsidRPr="00C2433F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</w:t>
            </w:r>
            <w:r w:rsidRPr="00A561B5">
              <w:rPr>
                <w:sz w:val="28"/>
                <w:szCs w:val="28"/>
                <w:lang w:val="uk-UA" w:eastAsia="ru-RU"/>
              </w:rPr>
              <w:t xml:space="preserve">итрати часу на ознайомлення з нормативно-правовим актом Х вартість часу суб’єкта малого підприємництва (заробітна плата)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2 год х 25,13 грн×2 = 100,52 грн</w:t>
            </w:r>
          </w:p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rPr>
                <w:sz w:val="28"/>
                <w:szCs w:val="28"/>
                <w:lang w:val="uk-UA" w:eastAsia="ru-RU"/>
              </w:rPr>
            </w:pPr>
          </w:p>
          <w:p w:rsidR="00542D8B" w:rsidRDefault="00542D8B" w:rsidP="00273897">
            <w:pPr>
              <w:rPr>
                <w:sz w:val="28"/>
                <w:szCs w:val="28"/>
                <w:lang w:val="ru-RU" w:eastAsia="ru-RU"/>
              </w:rPr>
            </w:pPr>
          </w:p>
          <w:p w:rsidR="00542D8B" w:rsidRDefault="00542D8B" w:rsidP="00273897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1х25,13грн =25,13</w:t>
            </w:r>
          </w:p>
          <w:p w:rsidR="00542D8B" w:rsidRDefault="00542D8B" w:rsidP="0027389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542D8B" w:rsidRDefault="00542D8B" w:rsidP="0027389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542D8B" w:rsidRDefault="00542D8B" w:rsidP="0027389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542D8B" w:rsidRDefault="00542D8B" w:rsidP="0027389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542D8B" w:rsidRDefault="00542D8B" w:rsidP="0027389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542D8B" w:rsidRPr="00206769" w:rsidRDefault="00542D8B" w:rsidP="0027389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542D8B" w:rsidRPr="00C2433F" w:rsidTr="00273897">
        <w:trPr>
          <w:trHeight w:val="1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C2433F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ru-RU" w:eastAsia="ru-RU"/>
              </w:rPr>
            </w:pPr>
            <w:r w:rsidRPr="00C2433F">
              <w:rPr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C2433F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Витрати на утилізацію кормів за 1 тону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3800 грн х 1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тона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= 3800</w:t>
            </w:r>
          </w:p>
        </w:tc>
      </w:tr>
      <w:tr w:rsidR="00542D8B" w:rsidRPr="00C2433F" w:rsidTr="00273897">
        <w:trPr>
          <w:trHeight w:val="1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Витрати на доставку кормів на спеціалізоване підприємство з утилізації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 грн х 20 км = 220</w:t>
            </w:r>
          </w:p>
        </w:tc>
      </w:tr>
      <w:tr w:rsidR="00542D8B" w:rsidRPr="00634C48" w:rsidTr="00273897">
        <w:trPr>
          <w:trHeight w:val="1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634C48" w:rsidRDefault="00542D8B" w:rsidP="0027389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>Разом, гривень</w:t>
            </w:r>
          </w:p>
          <w:p w:rsidR="00542D8B" w:rsidRPr="00634C48" w:rsidRDefault="00542D8B" w:rsidP="00273897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34C48">
              <w:rPr>
                <w:sz w:val="28"/>
                <w:szCs w:val="28"/>
                <w:lang w:val="uk-UA" w:eastAsia="ru-RU"/>
              </w:rPr>
              <w:t xml:space="preserve">Формула: </w:t>
            </w:r>
          </w:p>
          <w:p w:rsidR="00542D8B" w:rsidRPr="00634C48" w:rsidRDefault="00542D8B" w:rsidP="00273897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(сума рядків 2 + 3 + 4</w:t>
            </w:r>
            <w:r w:rsidRPr="00634C48">
              <w:rPr>
                <w:sz w:val="28"/>
                <w:szCs w:val="28"/>
                <w:lang w:val="uk-UA" w:eastAsia="ru-RU"/>
              </w:rPr>
              <w:t>)</w:t>
            </w:r>
            <w:r w:rsidRPr="00A561B5">
              <w:rPr>
                <w:sz w:val="28"/>
                <w:szCs w:val="28"/>
                <w:lang w:val="uk-UA" w:eastAsia="ru-RU"/>
              </w:rPr>
              <w:t xml:space="preserve"> Х кількість суб’єктів малого підприємництва, на яких поширюється регулювання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B" w:rsidRPr="00634C48" w:rsidRDefault="00542D8B" w:rsidP="002738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(50,26 + 100,52 + 25,13+3800+220)×3360 = 14098257,6</w:t>
            </w:r>
          </w:p>
          <w:p w:rsidR="00542D8B" w:rsidRPr="00634C48" w:rsidRDefault="00542D8B" w:rsidP="00273897">
            <w:pPr>
              <w:spacing w:before="100" w:beforeAutospacing="1" w:after="100" w:afterAutospacing="1" w:line="15" w:lineRule="atLeas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542D8B" w:rsidRPr="00634C48" w:rsidRDefault="00542D8B" w:rsidP="00542D8B">
      <w:pPr>
        <w:pStyle w:val="10"/>
        <w:tabs>
          <w:tab w:val="left" w:pos="3600"/>
        </w:tabs>
        <w:rPr>
          <w:lang w:val="uk-UA"/>
        </w:rPr>
      </w:pPr>
    </w:p>
    <w:p w:rsidR="00542D8B" w:rsidRPr="00634C48" w:rsidRDefault="00542D8B" w:rsidP="00542D8B">
      <w:pPr>
        <w:rPr>
          <w:lang w:val="uk-UA"/>
        </w:rPr>
      </w:pPr>
    </w:p>
    <w:p w:rsidR="007A41B1" w:rsidRPr="00542D8B" w:rsidRDefault="007A41B1" w:rsidP="008757A7">
      <w:pPr>
        <w:rPr>
          <w:sz w:val="28"/>
          <w:szCs w:val="28"/>
          <w:lang w:val="uk-UA"/>
        </w:rPr>
      </w:pPr>
    </w:p>
    <w:sectPr w:rsidR="007A41B1" w:rsidRPr="00542D8B" w:rsidSect="00542D8B">
      <w:headerReference w:type="default" r:id="rId10"/>
      <w:pgSz w:w="11906" w:h="16838"/>
      <w:pgMar w:top="1134" w:right="567" w:bottom="1134" w:left="1701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9B" w:rsidRDefault="00FB799B" w:rsidP="00E31DD2">
      <w:r>
        <w:separator/>
      </w:r>
    </w:p>
  </w:endnote>
  <w:endnote w:type="continuationSeparator" w:id="0">
    <w:p w:rsidR="00FB799B" w:rsidRDefault="00FB799B" w:rsidP="00E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9B" w:rsidRDefault="00FB799B" w:rsidP="00E31DD2">
      <w:r>
        <w:separator/>
      </w:r>
    </w:p>
  </w:footnote>
  <w:footnote w:type="continuationSeparator" w:id="0">
    <w:p w:rsidR="00FB799B" w:rsidRDefault="00FB799B" w:rsidP="00E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A3" w:rsidRPr="00542D8B" w:rsidRDefault="00386BA3">
    <w:pPr>
      <w:pStyle w:val="10"/>
      <w:tabs>
        <w:tab w:val="center" w:pos="4677"/>
        <w:tab w:val="right" w:pos="9355"/>
      </w:tabs>
      <w:spacing w:before="709"/>
      <w:jc w:val="center"/>
      <w:rPr>
        <w:sz w:val="24"/>
        <w:szCs w:val="24"/>
      </w:rPr>
    </w:pPr>
    <w:r w:rsidRPr="00542D8B">
      <w:rPr>
        <w:sz w:val="24"/>
        <w:szCs w:val="24"/>
      </w:rPr>
      <w:fldChar w:fldCharType="begin"/>
    </w:r>
    <w:r w:rsidRPr="00542D8B">
      <w:rPr>
        <w:sz w:val="24"/>
        <w:szCs w:val="24"/>
      </w:rPr>
      <w:instrText>PAGE</w:instrText>
    </w:r>
    <w:r w:rsidRPr="00542D8B">
      <w:rPr>
        <w:sz w:val="24"/>
        <w:szCs w:val="24"/>
      </w:rPr>
      <w:fldChar w:fldCharType="separate"/>
    </w:r>
    <w:r w:rsidR="00237547">
      <w:rPr>
        <w:noProof/>
        <w:sz w:val="24"/>
        <w:szCs w:val="24"/>
      </w:rPr>
      <w:t>9</w:t>
    </w:r>
    <w:r w:rsidRPr="00542D8B">
      <w:rPr>
        <w:noProof/>
        <w:sz w:val="24"/>
        <w:szCs w:val="24"/>
      </w:rPr>
      <w:fldChar w:fldCharType="end"/>
    </w:r>
  </w:p>
  <w:p w:rsidR="00386BA3" w:rsidRDefault="00386BA3">
    <w:pPr>
      <w:pStyle w:val="10"/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A3" w:rsidRPr="00542D8B" w:rsidRDefault="0083265F">
    <w:pPr>
      <w:pStyle w:val="10"/>
      <w:tabs>
        <w:tab w:val="center" w:pos="4677"/>
        <w:tab w:val="right" w:pos="9355"/>
      </w:tabs>
      <w:spacing w:before="709"/>
      <w:jc w:val="center"/>
      <w:rPr>
        <w:sz w:val="24"/>
        <w:szCs w:val="24"/>
      </w:rPr>
    </w:pPr>
    <w:r w:rsidRPr="00542D8B">
      <w:rPr>
        <w:sz w:val="24"/>
        <w:szCs w:val="24"/>
      </w:rPr>
      <w:fldChar w:fldCharType="begin"/>
    </w:r>
    <w:r w:rsidRPr="00542D8B">
      <w:rPr>
        <w:sz w:val="24"/>
        <w:szCs w:val="24"/>
      </w:rPr>
      <w:instrText>PAGE</w:instrText>
    </w:r>
    <w:r w:rsidRPr="00542D8B">
      <w:rPr>
        <w:sz w:val="24"/>
        <w:szCs w:val="24"/>
      </w:rPr>
      <w:fldChar w:fldCharType="separate"/>
    </w:r>
    <w:r w:rsidR="00237547">
      <w:rPr>
        <w:noProof/>
        <w:sz w:val="24"/>
        <w:szCs w:val="24"/>
      </w:rPr>
      <w:t>3</w:t>
    </w:r>
    <w:r w:rsidRPr="00542D8B">
      <w:rPr>
        <w:noProof/>
        <w:sz w:val="24"/>
        <w:szCs w:val="24"/>
      </w:rPr>
      <w:fldChar w:fldCharType="end"/>
    </w:r>
  </w:p>
  <w:p w:rsidR="00386BA3" w:rsidRDefault="00386BA3">
    <w:pPr>
      <w:pStyle w:val="10"/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446"/>
    <w:multiLevelType w:val="hybridMultilevel"/>
    <w:tmpl w:val="50BA80D4"/>
    <w:lvl w:ilvl="0" w:tplc="B008910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B0011"/>
    <w:multiLevelType w:val="hybridMultilevel"/>
    <w:tmpl w:val="B68A82A2"/>
    <w:lvl w:ilvl="0" w:tplc="1D7476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02E45"/>
    <w:multiLevelType w:val="multilevel"/>
    <w:tmpl w:val="FFFFFFFF"/>
    <w:lvl w:ilvl="0">
      <w:start w:val="1"/>
      <w:numFmt w:val="decimal"/>
      <w:lvlText w:val="%1."/>
      <w:lvlJc w:val="left"/>
      <w:pPr>
        <w:ind w:left="720" w:firstLine="180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cs="Times New Roman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2"/>
    <w:rsid w:val="00002B23"/>
    <w:rsid w:val="00005F14"/>
    <w:rsid w:val="0000715D"/>
    <w:rsid w:val="0001204F"/>
    <w:rsid w:val="00013ACE"/>
    <w:rsid w:val="00021C94"/>
    <w:rsid w:val="000241B4"/>
    <w:rsid w:val="00032824"/>
    <w:rsid w:val="00040975"/>
    <w:rsid w:val="000415FB"/>
    <w:rsid w:val="00050A95"/>
    <w:rsid w:val="00064FC0"/>
    <w:rsid w:val="00065213"/>
    <w:rsid w:val="00070D0D"/>
    <w:rsid w:val="00086504"/>
    <w:rsid w:val="00092BA7"/>
    <w:rsid w:val="00095F8B"/>
    <w:rsid w:val="000A1632"/>
    <w:rsid w:val="000A377D"/>
    <w:rsid w:val="000A394E"/>
    <w:rsid w:val="000A3F39"/>
    <w:rsid w:val="000B1E96"/>
    <w:rsid w:val="000B7237"/>
    <w:rsid w:val="000B7F33"/>
    <w:rsid w:val="000C5381"/>
    <w:rsid w:val="000C6B84"/>
    <w:rsid w:val="000D0871"/>
    <w:rsid w:val="000D5299"/>
    <w:rsid w:val="000D5E37"/>
    <w:rsid w:val="000E4FBC"/>
    <w:rsid w:val="000E783D"/>
    <w:rsid w:val="000F42AA"/>
    <w:rsid w:val="00106C0D"/>
    <w:rsid w:val="00111595"/>
    <w:rsid w:val="00112C0D"/>
    <w:rsid w:val="001250B8"/>
    <w:rsid w:val="001305D1"/>
    <w:rsid w:val="00133326"/>
    <w:rsid w:val="00147230"/>
    <w:rsid w:val="0014798E"/>
    <w:rsid w:val="00160799"/>
    <w:rsid w:val="0016298E"/>
    <w:rsid w:val="00162C0B"/>
    <w:rsid w:val="00176993"/>
    <w:rsid w:val="00186887"/>
    <w:rsid w:val="001A1862"/>
    <w:rsid w:val="001B49D7"/>
    <w:rsid w:val="001D423C"/>
    <w:rsid w:val="001D548A"/>
    <w:rsid w:val="001E1290"/>
    <w:rsid w:val="001E709C"/>
    <w:rsid w:val="001E7C9C"/>
    <w:rsid w:val="001F1777"/>
    <w:rsid w:val="001F4A0B"/>
    <w:rsid w:val="002018AF"/>
    <w:rsid w:val="002352D9"/>
    <w:rsid w:val="00235E31"/>
    <w:rsid w:val="00237547"/>
    <w:rsid w:val="00246C43"/>
    <w:rsid w:val="00247095"/>
    <w:rsid w:val="0025288B"/>
    <w:rsid w:val="00265F3D"/>
    <w:rsid w:val="002719E7"/>
    <w:rsid w:val="00271FCE"/>
    <w:rsid w:val="00273BF2"/>
    <w:rsid w:val="002828EE"/>
    <w:rsid w:val="00282BE7"/>
    <w:rsid w:val="00282F03"/>
    <w:rsid w:val="00287140"/>
    <w:rsid w:val="00287A8C"/>
    <w:rsid w:val="002918C4"/>
    <w:rsid w:val="002B5F01"/>
    <w:rsid w:val="002B7626"/>
    <w:rsid w:val="002C2986"/>
    <w:rsid w:val="002C2E91"/>
    <w:rsid w:val="002C2EC0"/>
    <w:rsid w:val="002C7BA3"/>
    <w:rsid w:val="002D0156"/>
    <w:rsid w:val="002F250E"/>
    <w:rsid w:val="002F7AF7"/>
    <w:rsid w:val="00301C6C"/>
    <w:rsid w:val="00303FEC"/>
    <w:rsid w:val="003123C1"/>
    <w:rsid w:val="0031637B"/>
    <w:rsid w:val="0031682D"/>
    <w:rsid w:val="00322F5F"/>
    <w:rsid w:val="003234CB"/>
    <w:rsid w:val="00325D5C"/>
    <w:rsid w:val="00327DF8"/>
    <w:rsid w:val="0033187E"/>
    <w:rsid w:val="00331B4A"/>
    <w:rsid w:val="0033325B"/>
    <w:rsid w:val="003464EE"/>
    <w:rsid w:val="00357DA5"/>
    <w:rsid w:val="00371169"/>
    <w:rsid w:val="00386BA3"/>
    <w:rsid w:val="00386FB6"/>
    <w:rsid w:val="00390021"/>
    <w:rsid w:val="00393FEF"/>
    <w:rsid w:val="003A669C"/>
    <w:rsid w:val="003B2DE0"/>
    <w:rsid w:val="003B5C85"/>
    <w:rsid w:val="003B73BD"/>
    <w:rsid w:val="003B7C32"/>
    <w:rsid w:val="003E0519"/>
    <w:rsid w:val="003E11A2"/>
    <w:rsid w:val="003F42E9"/>
    <w:rsid w:val="004027DF"/>
    <w:rsid w:val="00406FE0"/>
    <w:rsid w:val="00414832"/>
    <w:rsid w:val="0041635A"/>
    <w:rsid w:val="00421B6F"/>
    <w:rsid w:val="00423896"/>
    <w:rsid w:val="00432580"/>
    <w:rsid w:val="004333B8"/>
    <w:rsid w:val="0044294A"/>
    <w:rsid w:val="004472E8"/>
    <w:rsid w:val="0045106A"/>
    <w:rsid w:val="0045515B"/>
    <w:rsid w:val="0046085A"/>
    <w:rsid w:val="00462428"/>
    <w:rsid w:val="00462D79"/>
    <w:rsid w:val="00481A24"/>
    <w:rsid w:val="004848A3"/>
    <w:rsid w:val="00497E6D"/>
    <w:rsid w:val="004A0684"/>
    <w:rsid w:val="004A5C02"/>
    <w:rsid w:val="004C6B70"/>
    <w:rsid w:val="004D10F6"/>
    <w:rsid w:val="004E66BC"/>
    <w:rsid w:val="004F1D22"/>
    <w:rsid w:val="004F27DC"/>
    <w:rsid w:val="004F3E6E"/>
    <w:rsid w:val="004F6DEB"/>
    <w:rsid w:val="00502989"/>
    <w:rsid w:val="00504D89"/>
    <w:rsid w:val="00515589"/>
    <w:rsid w:val="00517AD9"/>
    <w:rsid w:val="00535C3E"/>
    <w:rsid w:val="00536681"/>
    <w:rsid w:val="00542333"/>
    <w:rsid w:val="00542D8B"/>
    <w:rsid w:val="005525C1"/>
    <w:rsid w:val="00561D2B"/>
    <w:rsid w:val="005659F5"/>
    <w:rsid w:val="0056612B"/>
    <w:rsid w:val="00570947"/>
    <w:rsid w:val="00575BB1"/>
    <w:rsid w:val="005776EE"/>
    <w:rsid w:val="00581168"/>
    <w:rsid w:val="00582D23"/>
    <w:rsid w:val="00594E1C"/>
    <w:rsid w:val="005A004D"/>
    <w:rsid w:val="005B0869"/>
    <w:rsid w:val="005D034D"/>
    <w:rsid w:val="005D21FC"/>
    <w:rsid w:val="005D64AD"/>
    <w:rsid w:val="005E608F"/>
    <w:rsid w:val="005E6E7E"/>
    <w:rsid w:val="005F4E67"/>
    <w:rsid w:val="005F643F"/>
    <w:rsid w:val="0060478A"/>
    <w:rsid w:val="00605351"/>
    <w:rsid w:val="00611CE9"/>
    <w:rsid w:val="0062295C"/>
    <w:rsid w:val="00623603"/>
    <w:rsid w:val="00625A47"/>
    <w:rsid w:val="00632631"/>
    <w:rsid w:val="006660F9"/>
    <w:rsid w:val="00670967"/>
    <w:rsid w:val="00683E1A"/>
    <w:rsid w:val="00687287"/>
    <w:rsid w:val="0069256E"/>
    <w:rsid w:val="006A3CD8"/>
    <w:rsid w:val="006C1013"/>
    <w:rsid w:val="006D2B60"/>
    <w:rsid w:val="006E2697"/>
    <w:rsid w:val="006F11B9"/>
    <w:rsid w:val="0070066C"/>
    <w:rsid w:val="00712587"/>
    <w:rsid w:val="00725DA4"/>
    <w:rsid w:val="0073030F"/>
    <w:rsid w:val="00730B7F"/>
    <w:rsid w:val="0075541B"/>
    <w:rsid w:val="007656FA"/>
    <w:rsid w:val="0076626D"/>
    <w:rsid w:val="00773791"/>
    <w:rsid w:val="00777B3E"/>
    <w:rsid w:val="007808EB"/>
    <w:rsid w:val="0078091D"/>
    <w:rsid w:val="00781C84"/>
    <w:rsid w:val="007A41B1"/>
    <w:rsid w:val="007A4A31"/>
    <w:rsid w:val="007C5F68"/>
    <w:rsid w:val="007D753F"/>
    <w:rsid w:val="007E4965"/>
    <w:rsid w:val="008147B4"/>
    <w:rsid w:val="00814986"/>
    <w:rsid w:val="0082666A"/>
    <w:rsid w:val="0083265F"/>
    <w:rsid w:val="00836254"/>
    <w:rsid w:val="00841440"/>
    <w:rsid w:val="00844912"/>
    <w:rsid w:val="00851783"/>
    <w:rsid w:val="00853654"/>
    <w:rsid w:val="00857D66"/>
    <w:rsid w:val="00861E50"/>
    <w:rsid w:val="008649FC"/>
    <w:rsid w:val="00864A0D"/>
    <w:rsid w:val="008757A7"/>
    <w:rsid w:val="008876C8"/>
    <w:rsid w:val="008928BB"/>
    <w:rsid w:val="00892D7A"/>
    <w:rsid w:val="00895AA7"/>
    <w:rsid w:val="008A0777"/>
    <w:rsid w:val="008A080C"/>
    <w:rsid w:val="008A1A3B"/>
    <w:rsid w:val="008B1D25"/>
    <w:rsid w:val="008B2CDF"/>
    <w:rsid w:val="008C76DB"/>
    <w:rsid w:val="008D2434"/>
    <w:rsid w:val="008D441C"/>
    <w:rsid w:val="008E142D"/>
    <w:rsid w:val="008F47BE"/>
    <w:rsid w:val="008F4930"/>
    <w:rsid w:val="008F6953"/>
    <w:rsid w:val="00906BC7"/>
    <w:rsid w:val="00910943"/>
    <w:rsid w:val="00914589"/>
    <w:rsid w:val="009178A2"/>
    <w:rsid w:val="00924B3A"/>
    <w:rsid w:val="00931E6B"/>
    <w:rsid w:val="00933076"/>
    <w:rsid w:val="00934C93"/>
    <w:rsid w:val="0093775A"/>
    <w:rsid w:val="009501A1"/>
    <w:rsid w:val="009562BA"/>
    <w:rsid w:val="00964B5A"/>
    <w:rsid w:val="00966158"/>
    <w:rsid w:val="00974894"/>
    <w:rsid w:val="009768E6"/>
    <w:rsid w:val="00985788"/>
    <w:rsid w:val="009922E2"/>
    <w:rsid w:val="0099646A"/>
    <w:rsid w:val="00A00BFC"/>
    <w:rsid w:val="00A0123C"/>
    <w:rsid w:val="00A0219B"/>
    <w:rsid w:val="00A14514"/>
    <w:rsid w:val="00A22436"/>
    <w:rsid w:val="00A22E82"/>
    <w:rsid w:val="00A23A93"/>
    <w:rsid w:val="00A4159D"/>
    <w:rsid w:val="00A46E1C"/>
    <w:rsid w:val="00A544DA"/>
    <w:rsid w:val="00A6265D"/>
    <w:rsid w:val="00A7003A"/>
    <w:rsid w:val="00A71C5D"/>
    <w:rsid w:val="00A90FD0"/>
    <w:rsid w:val="00A9426D"/>
    <w:rsid w:val="00A94756"/>
    <w:rsid w:val="00A95516"/>
    <w:rsid w:val="00AA79A0"/>
    <w:rsid w:val="00AC32AA"/>
    <w:rsid w:val="00AD684E"/>
    <w:rsid w:val="00AE135F"/>
    <w:rsid w:val="00AE3125"/>
    <w:rsid w:val="00AE35E8"/>
    <w:rsid w:val="00AE7F0A"/>
    <w:rsid w:val="00AF1728"/>
    <w:rsid w:val="00AF374F"/>
    <w:rsid w:val="00B02A28"/>
    <w:rsid w:val="00B20F47"/>
    <w:rsid w:val="00B44AB2"/>
    <w:rsid w:val="00B61C9B"/>
    <w:rsid w:val="00B70D8C"/>
    <w:rsid w:val="00B72290"/>
    <w:rsid w:val="00B816B4"/>
    <w:rsid w:val="00BA08A3"/>
    <w:rsid w:val="00BA6EE9"/>
    <w:rsid w:val="00BA7727"/>
    <w:rsid w:val="00BB05E1"/>
    <w:rsid w:val="00BC2794"/>
    <w:rsid w:val="00BF3FF1"/>
    <w:rsid w:val="00BF40CD"/>
    <w:rsid w:val="00C001B0"/>
    <w:rsid w:val="00C05BDC"/>
    <w:rsid w:val="00C25660"/>
    <w:rsid w:val="00C3548F"/>
    <w:rsid w:val="00C452A8"/>
    <w:rsid w:val="00C52D0E"/>
    <w:rsid w:val="00C546C3"/>
    <w:rsid w:val="00C6434C"/>
    <w:rsid w:val="00C72B59"/>
    <w:rsid w:val="00C7362B"/>
    <w:rsid w:val="00C847DC"/>
    <w:rsid w:val="00C87653"/>
    <w:rsid w:val="00C87CB4"/>
    <w:rsid w:val="00C935E9"/>
    <w:rsid w:val="00CB1C36"/>
    <w:rsid w:val="00CB1CDD"/>
    <w:rsid w:val="00CB470C"/>
    <w:rsid w:val="00CC0A89"/>
    <w:rsid w:val="00CC722A"/>
    <w:rsid w:val="00CD2818"/>
    <w:rsid w:val="00CD31D4"/>
    <w:rsid w:val="00CF6131"/>
    <w:rsid w:val="00D06404"/>
    <w:rsid w:val="00D21A4A"/>
    <w:rsid w:val="00D36BE8"/>
    <w:rsid w:val="00D41EC0"/>
    <w:rsid w:val="00D431BF"/>
    <w:rsid w:val="00D47265"/>
    <w:rsid w:val="00D60D66"/>
    <w:rsid w:val="00D6323B"/>
    <w:rsid w:val="00D75B5D"/>
    <w:rsid w:val="00D93E1C"/>
    <w:rsid w:val="00D976DD"/>
    <w:rsid w:val="00DA1635"/>
    <w:rsid w:val="00DB5723"/>
    <w:rsid w:val="00DC334C"/>
    <w:rsid w:val="00DC3627"/>
    <w:rsid w:val="00DD2574"/>
    <w:rsid w:val="00DD6F7E"/>
    <w:rsid w:val="00DE0281"/>
    <w:rsid w:val="00DF311F"/>
    <w:rsid w:val="00E00077"/>
    <w:rsid w:val="00E03243"/>
    <w:rsid w:val="00E04F31"/>
    <w:rsid w:val="00E27775"/>
    <w:rsid w:val="00E31DD2"/>
    <w:rsid w:val="00E34C85"/>
    <w:rsid w:val="00E3671B"/>
    <w:rsid w:val="00E37A74"/>
    <w:rsid w:val="00E5445F"/>
    <w:rsid w:val="00E655CB"/>
    <w:rsid w:val="00E85474"/>
    <w:rsid w:val="00E8609D"/>
    <w:rsid w:val="00E93629"/>
    <w:rsid w:val="00E94ABD"/>
    <w:rsid w:val="00EB70EF"/>
    <w:rsid w:val="00EC4E3D"/>
    <w:rsid w:val="00EC6E17"/>
    <w:rsid w:val="00ED7352"/>
    <w:rsid w:val="00EE4685"/>
    <w:rsid w:val="00EE4C7C"/>
    <w:rsid w:val="00EF2E4B"/>
    <w:rsid w:val="00F0217F"/>
    <w:rsid w:val="00F04C29"/>
    <w:rsid w:val="00F070E3"/>
    <w:rsid w:val="00F078FC"/>
    <w:rsid w:val="00F102D3"/>
    <w:rsid w:val="00F201E7"/>
    <w:rsid w:val="00F230F1"/>
    <w:rsid w:val="00F277FE"/>
    <w:rsid w:val="00F410E4"/>
    <w:rsid w:val="00F45A07"/>
    <w:rsid w:val="00F620C3"/>
    <w:rsid w:val="00F758D5"/>
    <w:rsid w:val="00F84A84"/>
    <w:rsid w:val="00F923A7"/>
    <w:rsid w:val="00F95794"/>
    <w:rsid w:val="00FA1EEE"/>
    <w:rsid w:val="00FB20DA"/>
    <w:rsid w:val="00FB2B49"/>
    <w:rsid w:val="00FB6AD5"/>
    <w:rsid w:val="00FB799B"/>
    <w:rsid w:val="00FC4007"/>
    <w:rsid w:val="00FC5379"/>
    <w:rsid w:val="00FC55A7"/>
    <w:rsid w:val="00FC6005"/>
    <w:rsid w:val="00FD7F7D"/>
    <w:rsid w:val="00FE0151"/>
    <w:rsid w:val="00FE057D"/>
    <w:rsid w:val="00FE41E1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BEC6B-D5F3-43D0-8794-E32C45CC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4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E31DD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31DD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31DD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31DD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31DD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E31DD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135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135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135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135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135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135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31DD2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E31DD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 Знак"/>
    <w:link w:val="a3"/>
    <w:uiPriority w:val="99"/>
    <w:locked/>
    <w:rsid w:val="00AE13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31DD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99"/>
    <w:locked/>
    <w:rsid w:val="00AE135F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5659F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5659F5"/>
    <w:rPr>
      <w:rFonts w:ascii="Tahoma" w:hAnsi="Tahoma" w:cs="Tahoma"/>
      <w:color w:val="000000"/>
      <w:sz w:val="16"/>
      <w:szCs w:val="16"/>
    </w:rPr>
  </w:style>
  <w:style w:type="paragraph" w:styleId="22">
    <w:name w:val="Body Text 2"/>
    <w:basedOn w:val="a"/>
    <w:link w:val="23"/>
    <w:uiPriority w:val="99"/>
    <w:rsid w:val="005659F5"/>
    <w:pPr>
      <w:widowControl/>
      <w:spacing w:after="120" w:line="480" w:lineRule="auto"/>
    </w:pPr>
    <w:rPr>
      <w:color w:val="auto"/>
      <w:sz w:val="24"/>
      <w:szCs w:val="24"/>
      <w:lang w:val="ru-RU" w:eastAsia="ru-RU"/>
    </w:rPr>
  </w:style>
  <w:style w:type="character" w:customStyle="1" w:styleId="23">
    <w:name w:val="Основний текст 2 Знак"/>
    <w:link w:val="22"/>
    <w:uiPriority w:val="99"/>
    <w:locked/>
    <w:rsid w:val="005659F5"/>
    <w:rPr>
      <w:rFonts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5659F5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565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uk-UA" w:eastAsia="uk-UA"/>
    </w:rPr>
  </w:style>
  <w:style w:type="character" w:customStyle="1" w:styleId="HTML0">
    <w:name w:val="Стандартний HTML Знак"/>
    <w:link w:val="HTML"/>
    <w:uiPriority w:val="99"/>
    <w:locked/>
    <w:rsid w:val="005659F5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endnote text"/>
    <w:basedOn w:val="a"/>
    <w:link w:val="ab"/>
    <w:uiPriority w:val="99"/>
    <w:semiHidden/>
    <w:unhideWhenUsed/>
    <w:rsid w:val="000415FB"/>
  </w:style>
  <w:style w:type="character" w:customStyle="1" w:styleId="ab">
    <w:name w:val="Текст кінцевої виноски Знак"/>
    <w:link w:val="aa"/>
    <w:uiPriority w:val="99"/>
    <w:semiHidden/>
    <w:rsid w:val="000415FB"/>
    <w:rPr>
      <w:color w:val="000000"/>
    </w:rPr>
  </w:style>
  <w:style w:type="character" w:styleId="ac">
    <w:name w:val="endnote reference"/>
    <w:uiPriority w:val="99"/>
    <w:semiHidden/>
    <w:unhideWhenUsed/>
    <w:rsid w:val="000415FB"/>
    <w:rPr>
      <w:vertAlign w:val="superscript"/>
    </w:rPr>
  </w:style>
  <w:style w:type="paragraph" w:styleId="ad">
    <w:name w:val="List Paragraph"/>
    <w:basedOn w:val="a"/>
    <w:uiPriority w:val="34"/>
    <w:qFormat/>
    <w:rsid w:val="000B723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542D8B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542D8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42D8B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542D8B"/>
    <w:rPr>
      <w:color w:val="000000"/>
    </w:rPr>
  </w:style>
  <w:style w:type="paragraph" w:customStyle="1" w:styleId="13">
    <w:name w:val="Абзац списка1"/>
    <w:basedOn w:val="a"/>
    <w:rsid w:val="00237547"/>
    <w:pPr>
      <w:widowControl/>
      <w:spacing w:after="160" w:line="254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EE94-0018-42B0-8416-6B082957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13149</Words>
  <Characters>7496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user</dc:creator>
  <cp:keywords/>
  <dc:description/>
  <cp:lastModifiedBy>Мотяжева Ольга Анатоліївна</cp:lastModifiedBy>
  <cp:revision>11</cp:revision>
  <cp:lastPrinted>2019-10-31T10:49:00Z</cp:lastPrinted>
  <dcterms:created xsi:type="dcterms:W3CDTF">2019-10-01T13:13:00Z</dcterms:created>
  <dcterms:modified xsi:type="dcterms:W3CDTF">2019-11-06T09:11:00Z</dcterms:modified>
</cp:coreProperties>
</file>